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bCs/>
          <w:sz w:val="44"/>
          <w:szCs w:val="44"/>
          <w:lang w:eastAsia="zh-CN"/>
        </w:rPr>
      </w:pPr>
      <w:r>
        <w:rPr>
          <w:rFonts w:hint="eastAsia" w:ascii="方正小标宋简体" w:hAnsi="方正小标宋简体" w:eastAsia="方正小标宋简体" w:cs="方正小标宋简体"/>
          <w:b/>
          <w:bCs/>
          <w:sz w:val="44"/>
          <w:szCs w:val="44"/>
          <w:lang w:eastAsia="zh-CN"/>
        </w:rPr>
        <w:t>关于《深圳市龙华区城市更新实施办法</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bCs/>
          <w:sz w:val="44"/>
          <w:szCs w:val="44"/>
          <w:lang w:val="en-US" w:eastAsia="zh-CN"/>
        </w:rPr>
      </w:pPr>
      <w:bookmarkStart w:id="0" w:name="_GoBack"/>
      <w:bookmarkEnd w:id="0"/>
      <w:r>
        <w:rPr>
          <w:rFonts w:hint="eastAsia" w:ascii="方正小标宋简体" w:hAnsi="方正小标宋简体" w:eastAsia="方正小标宋简体" w:cs="方正小标宋简体"/>
          <w:b/>
          <w:bCs/>
          <w:sz w:val="44"/>
          <w:szCs w:val="44"/>
          <w:lang w:eastAsia="zh-CN"/>
        </w:rPr>
        <w:t>（修订征求意见稿）》的修订说明</w:t>
      </w:r>
    </w:p>
    <w:p>
      <w:pPr>
        <w:keepNext w:val="0"/>
        <w:keepLines w:val="0"/>
        <w:pageBreakBefore w:val="0"/>
        <w:widowControl w:val="0"/>
        <w:kinsoku/>
        <w:wordWrap/>
        <w:overflowPunct/>
        <w:topLinePunct w:val="0"/>
        <w:autoSpaceDE/>
        <w:autoSpaceDN/>
        <w:bidi w:val="0"/>
        <w:adjustRightInd/>
        <w:snapToGrid/>
        <w:spacing w:line="560" w:lineRule="exact"/>
        <w:ind w:firstLine="883" w:firstLineChars="200"/>
        <w:jc w:val="both"/>
        <w:textAlignment w:val="auto"/>
        <w:rPr>
          <w:rFonts w:hint="eastAsia"/>
          <w:b/>
          <w:bCs/>
          <w:sz w:val="44"/>
          <w:szCs w:val="44"/>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修订背景和必要性</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 w:hAnsi="仿宋" w:eastAsia="仿宋" w:cs="仿宋"/>
          <w:b w:val="0"/>
          <w:bCs w:val="0"/>
          <w:sz w:val="32"/>
          <w:szCs w:val="32"/>
          <w:lang w:val="en-US" w:eastAsia="zh-Hans"/>
        </w:rPr>
      </w:pPr>
      <w:r>
        <w:rPr>
          <w:rFonts w:hint="default" w:ascii="仿宋" w:hAnsi="仿宋" w:eastAsia="仿宋" w:cs="仿宋"/>
          <w:b w:val="0"/>
          <w:bCs w:val="0"/>
          <w:sz w:val="32"/>
          <w:szCs w:val="32"/>
          <w:lang w:eastAsia="zh-CN"/>
        </w:rPr>
        <w:t>2021</w:t>
      </w:r>
      <w:r>
        <w:rPr>
          <w:rFonts w:hint="eastAsia" w:ascii="仿宋" w:hAnsi="仿宋" w:eastAsia="仿宋" w:cs="仿宋"/>
          <w:b w:val="0"/>
          <w:bCs w:val="0"/>
          <w:sz w:val="32"/>
          <w:szCs w:val="32"/>
          <w:lang w:val="en-US" w:eastAsia="zh-Hans"/>
        </w:rPr>
        <w:t>年3月1日，</w:t>
      </w:r>
      <w:r>
        <w:rPr>
          <w:rFonts w:hint="eastAsia" w:ascii="仿宋" w:hAnsi="仿宋" w:eastAsia="仿宋" w:cs="仿宋"/>
          <w:b w:val="0"/>
          <w:bCs w:val="0"/>
          <w:sz w:val="32"/>
          <w:szCs w:val="32"/>
          <w:lang w:val="en-US" w:eastAsia="zh-CN"/>
        </w:rPr>
        <w:t>《深圳经济特区城市更新条例》（以下简称《更新条例》）</w:t>
      </w:r>
      <w:r>
        <w:rPr>
          <w:rFonts w:hint="eastAsia" w:ascii="仿宋" w:hAnsi="仿宋" w:eastAsia="仿宋" w:cs="仿宋"/>
          <w:b w:val="0"/>
          <w:bCs w:val="0"/>
          <w:sz w:val="32"/>
          <w:szCs w:val="32"/>
          <w:lang w:val="en-US" w:eastAsia="zh-Hans"/>
        </w:rPr>
        <w:t>正式</w:t>
      </w:r>
      <w:r>
        <w:rPr>
          <w:rFonts w:hint="eastAsia" w:ascii="仿宋" w:hAnsi="仿宋" w:eastAsia="仿宋" w:cs="仿宋"/>
          <w:b w:val="0"/>
          <w:bCs w:val="0"/>
          <w:sz w:val="32"/>
          <w:szCs w:val="32"/>
          <w:lang w:val="en-US" w:eastAsia="zh-CN"/>
        </w:rPr>
        <w:t>施行</w:t>
      </w:r>
      <w:r>
        <w:rPr>
          <w:rFonts w:hint="eastAsia" w:ascii="仿宋" w:hAnsi="仿宋" w:eastAsia="仿宋" w:cs="仿宋"/>
          <w:b w:val="0"/>
          <w:bCs w:val="0"/>
          <w:sz w:val="32"/>
          <w:szCs w:val="32"/>
          <w:lang w:val="en-US" w:eastAsia="zh-Hans"/>
        </w:rPr>
        <w:t>，提高了城市更新领域的立法层次，完善了城市更新政策体系，破解了城市更新的深层障碍，明确了应当把握的原则性、方向性的问题，进一步推动了城市更新高质量发展。《更新条例》施行后，龙华区急需通过更为具体的规定指导辖区内的城市更新活动，保障《更新条例》的顺利落地及实施。</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Hans"/>
        </w:rPr>
        <w:t>此外，</w:t>
      </w:r>
      <w:r>
        <w:rPr>
          <w:rFonts w:hint="eastAsia" w:ascii="仿宋" w:hAnsi="仿宋" w:eastAsia="仿宋" w:cs="仿宋"/>
          <w:b w:val="0"/>
          <w:bCs w:val="0"/>
          <w:sz w:val="32"/>
          <w:szCs w:val="32"/>
          <w:lang w:val="en-US" w:eastAsia="zh-CN"/>
        </w:rPr>
        <w:t>《深圳市龙华区城市更新实施办法》（以下简称《实施办法》）</w:t>
      </w:r>
      <w:r>
        <w:rPr>
          <w:rFonts w:hint="eastAsia" w:ascii="仿宋" w:hAnsi="仿宋" w:eastAsia="仿宋" w:cs="仿宋"/>
          <w:b w:val="0"/>
          <w:bCs w:val="0"/>
          <w:sz w:val="32"/>
          <w:szCs w:val="32"/>
          <w:lang w:val="en-US" w:eastAsia="zh-Hans"/>
        </w:rPr>
        <w:t>已施行数年，期间城市更新各环节的操作细则陆续出台，各部门机构职能亦发生较大变化，《实施办法》已无法满足当前城市更新发展的需要</w:t>
      </w:r>
      <w:r>
        <w:rPr>
          <w:rFonts w:hint="eastAsia" w:ascii="仿宋" w:hAnsi="仿宋" w:eastAsia="仿宋" w:cs="仿宋"/>
          <w:b w:val="0"/>
          <w:bCs w:val="0"/>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 w:hAnsi="仿宋" w:eastAsia="仿宋" w:cs="仿宋"/>
          <w:b w:val="0"/>
          <w:bCs w:val="0"/>
          <w:sz w:val="32"/>
          <w:szCs w:val="32"/>
          <w:lang w:val="en-US" w:eastAsia="zh-Hans"/>
        </w:rPr>
      </w:pPr>
      <w:r>
        <w:rPr>
          <w:rFonts w:hint="eastAsia" w:ascii="仿宋" w:hAnsi="仿宋" w:eastAsia="仿宋" w:cs="仿宋"/>
          <w:b w:val="0"/>
          <w:bCs w:val="0"/>
          <w:sz w:val="32"/>
          <w:szCs w:val="32"/>
          <w:lang w:val="en-US" w:eastAsia="zh-Hans"/>
        </w:rPr>
        <w:t>综上，龙华区有必要结合《更新条例》和辖区内的实际情况，及时调整修订《实施办法》，依法依规有序推进城市更新活动顺利开展。</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修订原则</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衔接现有政策、制度、规范体系</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仿宋" w:hAnsi="仿宋" w:eastAsia="仿宋" w:cs="仿宋"/>
          <w:b w:val="0"/>
          <w:bCs w:val="0"/>
          <w:sz w:val="32"/>
          <w:szCs w:val="32"/>
          <w:lang w:val="en-US" w:eastAsia="zh-CN"/>
        </w:rPr>
      </w:pPr>
      <w:r>
        <w:rPr>
          <w:rFonts w:hint="default" w:ascii="仿宋" w:hAnsi="仿宋" w:eastAsia="仿宋" w:cs="仿宋"/>
          <w:b w:val="0"/>
          <w:bCs w:val="0"/>
          <w:sz w:val="32"/>
          <w:szCs w:val="32"/>
          <w:lang w:val="en-US" w:eastAsia="zh-CN"/>
        </w:rPr>
        <w:t>与</w:t>
      </w:r>
      <w:r>
        <w:rPr>
          <w:rFonts w:hint="eastAsia" w:ascii="仿宋" w:hAnsi="仿宋" w:eastAsia="仿宋" w:cs="仿宋"/>
          <w:b w:val="0"/>
          <w:bCs w:val="0"/>
          <w:sz w:val="32"/>
          <w:szCs w:val="32"/>
          <w:lang w:val="en-US" w:eastAsia="zh-Hans"/>
        </w:rPr>
        <w:t>现有</w:t>
      </w:r>
      <w:r>
        <w:rPr>
          <w:rFonts w:hint="default" w:ascii="仿宋" w:hAnsi="仿宋" w:eastAsia="仿宋" w:cs="仿宋"/>
          <w:b w:val="0"/>
          <w:bCs w:val="0"/>
          <w:sz w:val="32"/>
          <w:szCs w:val="32"/>
          <w:lang w:val="en-US" w:eastAsia="zh-CN"/>
        </w:rPr>
        <w:t>深圳城市更新制度体系、深圳城市</w:t>
      </w:r>
      <w:r>
        <w:rPr>
          <w:rFonts w:hint="eastAsia" w:ascii="仿宋" w:hAnsi="仿宋" w:eastAsia="仿宋" w:cs="仿宋"/>
          <w:b w:val="0"/>
          <w:bCs w:val="0"/>
          <w:sz w:val="32"/>
          <w:szCs w:val="32"/>
          <w:lang w:val="en-US" w:eastAsia="zh-CN"/>
        </w:rPr>
        <w:t>计划、</w:t>
      </w:r>
      <w:r>
        <w:rPr>
          <w:rFonts w:hint="default" w:ascii="仿宋" w:hAnsi="仿宋" w:eastAsia="仿宋" w:cs="仿宋"/>
          <w:b w:val="0"/>
          <w:bCs w:val="0"/>
          <w:sz w:val="32"/>
          <w:szCs w:val="32"/>
          <w:lang w:val="en-US" w:eastAsia="zh-CN"/>
        </w:rPr>
        <w:t>规划成果体系</w:t>
      </w:r>
      <w:r>
        <w:rPr>
          <w:rFonts w:hint="eastAsia" w:ascii="仿宋" w:hAnsi="仿宋" w:eastAsia="仿宋" w:cs="仿宋"/>
          <w:b w:val="0"/>
          <w:bCs w:val="0"/>
          <w:sz w:val="32"/>
          <w:szCs w:val="32"/>
          <w:lang w:val="en-US" w:eastAsia="zh-CN"/>
        </w:rPr>
        <w:t>、城市更新政策文件相</w:t>
      </w:r>
      <w:r>
        <w:rPr>
          <w:rFonts w:hint="default" w:ascii="仿宋" w:hAnsi="仿宋" w:eastAsia="仿宋" w:cs="仿宋"/>
          <w:b w:val="0"/>
          <w:bCs w:val="0"/>
          <w:sz w:val="32"/>
          <w:szCs w:val="32"/>
          <w:lang w:val="en-US" w:eastAsia="zh-CN"/>
        </w:rPr>
        <w:t>衔接。</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firstLine="643" w:firstLineChars="200"/>
        <w:jc w:val="both"/>
        <w:textAlignment w:val="auto"/>
        <w:rPr>
          <w:rFonts w:hint="default"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面向实施，保障可操作性</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仿宋" w:hAnsi="仿宋" w:eastAsia="仿宋" w:cs="仿宋"/>
          <w:b w:val="0"/>
          <w:bCs w:val="0"/>
          <w:sz w:val="32"/>
          <w:szCs w:val="32"/>
          <w:lang w:val="en-US" w:eastAsia="zh-CN"/>
        </w:rPr>
      </w:pPr>
      <w:r>
        <w:rPr>
          <w:rFonts w:hint="default" w:ascii="仿宋" w:hAnsi="仿宋" w:eastAsia="仿宋" w:cs="仿宋"/>
          <w:b w:val="0"/>
          <w:bCs w:val="0"/>
          <w:sz w:val="32"/>
          <w:szCs w:val="32"/>
          <w:lang w:val="en-US" w:eastAsia="zh-CN"/>
        </w:rPr>
        <w:t>进一步明晰</w:t>
      </w:r>
      <w:r>
        <w:rPr>
          <w:rFonts w:hint="eastAsia" w:ascii="仿宋" w:hAnsi="仿宋" w:eastAsia="仿宋" w:cs="仿宋"/>
          <w:b w:val="0"/>
          <w:bCs w:val="0"/>
          <w:sz w:val="32"/>
          <w:szCs w:val="32"/>
          <w:lang w:val="en-US" w:eastAsia="zh-Hans"/>
        </w:rPr>
        <w:t>物业权利人核实、建筑物提前拆除</w:t>
      </w:r>
      <w:r>
        <w:rPr>
          <w:rFonts w:hint="default" w:ascii="仿宋" w:hAnsi="仿宋" w:eastAsia="仿宋" w:cs="仿宋"/>
          <w:b w:val="0"/>
          <w:bCs w:val="0"/>
          <w:sz w:val="32"/>
          <w:szCs w:val="32"/>
          <w:lang w:val="en-US" w:eastAsia="zh-CN"/>
        </w:rPr>
        <w:t>、</w:t>
      </w:r>
      <w:r>
        <w:rPr>
          <w:rFonts w:hint="eastAsia" w:ascii="仿宋" w:hAnsi="仿宋" w:eastAsia="仿宋" w:cs="仿宋"/>
          <w:b w:val="0"/>
          <w:bCs w:val="0"/>
          <w:sz w:val="32"/>
          <w:szCs w:val="32"/>
          <w:lang w:val="en-US" w:eastAsia="zh-CN"/>
        </w:rPr>
        <w:t>项目监管</w:t>
      </w:r>
      <w:r>
        <w:rPr>
          <w:rFonts w:hint="eastAsia" w:ascii="仿宋" w:hAnsi="仿宋" w:eastAsia="仿宋" w:cs="仿宋"/>
          <w:b w:val="0"/>
          <w:bCs w:val="0"/>
          <w:sz w:val="32"/>
          <w:szCs w:val="32"/>
          <w:lang w:val="en-US" w:eastAsia="zh-Hans"/>
        </w:rPr>
        <w:t>、政策衔接</w:t>
      </w:r>
      <w:r>
        <w:rPr>
          <w:rFonts w:hint="eastAsia" w:ascii="仿宋" w:hAnsi="仿宋" w:eastAsia="仿宋" w:cs="仿宋"/>
          <w:b w:val="0"/>
          <w:bCs w:val="0"/>
          <w:sz w:val="32"/>
          <w:szCs w:val="32"/>
          <w:lang w:val="en-US" w:eastAsia="zh-CN"/>
        </w:rPr>
        <w:t>等流程</w:t>
      </w:r>
      <w:r>
        <w:rPr>
          <w:rFonts w:hint="default" w:ascii="仿宋" w:hAnsi="仿宋" w:eastAsia="仿宋" w:cs="仿宋"/>
          <w:b w:val="0"/>
          <w:bCs w:val="0"/>
          <w:sz w:val="32"/>
          <w:szCs w:val="32"/>
          <w:lang w:val="en-US" w:eastAsia="zh-CN"/>
        </w:rPr>
        <w:t>并细化操作</w:t>
      </w:r>
      <w:r>
        <w:rPr>
          <w:rFonts w:hint="eastAsia" w:ascii="仿宋" w:hAnsi="仿宋" w:eastAsia="仿宋" w:cs="仿宋"/>
          <w:b w:val="0"/>
          <w:bCs w:val="0"/>
          <w:sz w:val="32"/>
          <w:szCs w:val="32"/>
          <w:lang w:val="en-US" w:eastAsia="zh-CN"/>
        </w:rPr>
        <w:t>，</w:t>
      </w:r>
      <w:r>
        <w:rPr>
          <w:rFonts w:hint="eastAsia" w:ascii="仿宋" w:hAnsi="仿宋" w:eastAsia="仿宋" w:cs="仿宋"/>
          <w:b w:val="0"/>
          <w:bCs w:val="0"/>
          <w:sz w:val="32"/>
          <w:szCs w:val="32"/>
          <w:lang w:val="en-US" w:eastAsia="zh-Hans"/>
        </w:rPr>
        <w:t>落实</w:t>
      </w:r>
      <w:r>
        <w:rPr>
          <w:rFonts w:hint="eastAsia" w:ascii="仿宋" w:hAnsi="仿宋" w:eastAsia="仿宋" w:cs="仿宋"/>
          <w:b w:val="0"/>
          <w:bCs w:val="0"/>
          <w:sz w:val="32"/>
          <w:szCs w:val="32"/>
          <w:lang w:val="en-US" w:eastAsia="zh-CN"/>
        </w:rPr>
        <w:t>《更新条例》</w:t>
      </w:r>
      <w:r>
        <w:rPr>
          <w:rFonts w:hint="eastAsia" w:ascii="仿宋" w:hAnsi="仿宋" w:eastAsia="仿宋" w:cs="仿宋"/>
          <w:b w:val="0"/>
          <w:bCs w:val="0"/>
          <w:sz w:val="32"/>
          <w:szCs w:val="32"/>
          <w:lang w:val="en-US" w:eastAsia="zh-Hans"/>
        </w:rPr>
        <w:t>中的规定，确保城市更新活动顺利推进</w:t>
      </w:r>
      <w:r>
        <w:rPr>
          <w:rFonts w:hint="default" w:ascii="仿宋" w:hAnsi="仿宋" w:eastAsia="仿宋" w:cs="仿宋"/>
          <w:b w:val="0"/>
          <w:bCs w:val="0"/>
          <w:sz w:val="32"/>
          <w:szCs w:val="32"/>
          <w:lang w:val="en-US" w:eastAsia="zh-CN"/>
        </w:rPr>
        <w:t>。</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修订主要内容</w:t>
      </w:r>
    </w:p>
    <w:p>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 w:hAnsi="仿宋" w:eastAsia="仿宋" w:cs="仿宋"/>
          <w:b w:val="0"/>
          <w:bCs w:val="0"/>
          <w:sz w:val="32"/>
          <w:szCs w:val="32"/>
          <w:lang w:val="en-US" w:eastAsia="zh-Hans"/>
        </w:rPr>
      </w:pPr>
      <w:r>
        <w:rPr>
          <w:rFonts w:hint="eastAsia" w:ascii="仿宋" w:hAnsi="仿宋" w:eastAsia="仿宋" w:cs="仿宋"/>
          <w:b w:val="0"/>
          <w:bCs w:val="0"/>
          <w:sz w:val="32"/>
          <w:szCs w:val="32"/>
          <w:lang w:val="en-US" w:eastAsia="zh-Hans"/>
        </w:rPr>
        <w:t>本次修订对《实施办法》原有架构进行了适当调整并对内容进行精简，分为</w:t>
      </w:r>
      <w:r>
        <w:rPr>
          <w:rFonts w:hint="default" w:ascii="仿宋" w:hAnsi="仿宋" w:eastAsia="仿宋" w:cs="仿宋"/>
          <w:b w:val="0"/>
          <w:bCs w:val="0"/>
          <w:sz w:val="32"/>
          <w:szCs w:val="32"/>
          <w:lang w:eastAsia="zh-Hans"/>
        </w:rPr>
        <w:t>9</w:t>
      </w:r>
      <w:r>
        <w:rPr>
          <w:rFonts w:hint="eastAsia" w:ascii="仿宋" w:hAnsi="仿宋" w:eastAsia="仿宋" w:cs="仿宋"/>
          <w:b w:val="0"/>
          <w:bCs w:val="0"/>
          <w:sz w:val="32"/>
          <w:szCs w:val="32"/>
          <w:lang w:val="en-US" w:eastAsia="zh-Hans"/>
        </w:rPr>
        <w:t>章</w:t>
      </w:r>
      <w:r>
        <w:rPr>
          <w:rFonts w:hint="default" w:ascii="仿宋" w:hAnsi="仿宋" w:eastAsia="仿宋" w:cs="仿宋"/>
          <w:b w:val="0"/>
          <w:bCs w:val="0"/>
          <w:sz w:val="32"/>
          <w:szCs w:val="32"/>
          <w:lang w:eastAsia="zh-Hans"/>
        </w:rPr>
        <w:t>57</w:t>
      </w:r>
      <w:r>
        <w:rPr>
          <w:rFonts w:hint="eastAsia" w:ascii="仿宋" w:hAnsi="仿宋" w:eastAsia="仿宋" w:cs="仿宋"/>
          <w:b w:val="0"/>
          <w:bCs w:val="0"/>
          <w:sz w:val="32"/>
          <w:szCs w:val="32"/>
          <w:lang w:val="en-US" w:eastAsia="zh-Hans"/>
        </w:rPr>
        <w:t>条，包括总则、城市更新单元计划审批、土地信息核查及历史用地处置、城市更新单元规划审批、实施主体确认、用地移交与建设用地审批、报建与验收、项目监管、附则。修订主要内容如下：</w:t>
      </w:r>
    </w:p>
    <w:p>
      <w:pPr>
        <w:keepNext w:val="0"/>
        <w:keepLines w:val="0"/>
        <w:pageBreakBefore w:val="0"/>
        <w:widowControl w:val="0"/>
        <w:numPr>
          <w:ilvl w:val="0"/>
          <w:numId w:val="3"/>
        </w:numPr>
        <w:kinsoku/>
        <w:wordWrap/>
        <w:overflowPunct/>
        <w:topLinePunct w:val="0"/>
        <w:autoSpaceDE/>
        <w:autoSpaceDN/>
        <w:bidi w:val="0"/>
        <w:adjustRightInd/>
        <w:snapToGrid/>
        <w:spacing w:beforeLines="0" w:afterLines="0" w:line="560" w:lineRule="exact"/>
        <w:ind w:left="0" w:leftChars="0" w:firstLine="643" w:firstLineChars="200"/>
        <w:jc w:val="both"/>
        <w:textAlignment w:val="auto"/>
        <w:rPr>
          <w:rFonts w:hint="eastAsia" w:ascii="楷体_GB2312" w:hAnsi="楷体_GB2312" w:eastAsia="楷体_GB2312" w:cs="楷体_GB2312"/>
          <w:b/>
          <w:bCs/>
          <w:sz w:val="32"/>
          <w:szCs w:val="32"/>
          <w:lang w:val="en-US" w:eastAsia="zh-Hans"/>
        </w:rPr>
      </w:pPr>
      <w:r>
        <w:rPr>
          <w:rFonts w:hint="eastAsia" w:ascii="楷体_GB2312" w:hAnsi="楷体_GB2312" w:eastAsia="楷体_GB2312" w:cs="楷体_GB2312"/>
          <w:b/>
          <w:bCs/>
          <w:sz w:val="32"/>
          <w:szCs w:val="32"/>
          <w:lang w:val="en-US" w:eastAsia="zh-Hans"/>
        </w:rPr>
        <w:t>第一章“总则”</w:t>
      </w:r>
    </w:p>
    <w:p>
      <w:pPr>
        <w:keepNext w:val="0"/>
        <w:keepLines w:val="0"/>
        <w:pageBreakBefore w:val="0"/>
        <w:widowControl w:val="0"/>
        <w:numPr>
          <w:ilvl w:val="-1"/>
          <w:numId w:val="0"/>
        </w:numPr>
        <w:kinsoku/>
        <w:wordWrap/>
        <w:overflowPunct/>
        <w:topLinePunct w:val="0"/>
        <w:autoSpaceDE/>
        <w:autoSpaceDN/>
        <w:bidi w:val="0"/>
        <w:adjustRightInd/>
        <w:snapToGrid/>
        <w:spacing w:beforeLines="0" w:afterLines="0" w:line="560" w:lineRule="exact"/>
        <w:ind w:left="0" w:leftChars="0" w:firstLine="640" w:firstLineChars="200"/>
        <w:jc w:val="both"/>
        <w:textAlignment w:val="auto"/>
        <w:rPr>
          <w:rFonts w:hint="eastAsia" w:ascii="仿宋" w:hAnsi="仿宋" w:eastAsia="仿宋" w:cs="仿宋"/>
          <w:b w:val="0"/>
          <w:bCs w:val="0"/>
          <w:sz w:val="32"/>
          <w:szCs w:val="32"/>
          <w:lang w:val="en-US" w:eastAsia="zh-Hans"/>
        </w:rPr>
      </w:pPr>
      <w:r>
        <w:rPr>
          <w:rFonts w:hint="eastAsia" w:ascii="仿宋" w:hAnsi="仿宋" w:eastAsia="仿宋" w:cs="仿宋"/>
          <w:b w:val="0"/>
          <w:bCs w:val="0"/>
          <w:sz w:val="32"/>
          <w:szCs w:val="32"/>
          <w:lang w:val="en-US" w:eastAsia="zh-Hans"/>
        </w:rPr>
        <w:t>1.结合原《实施办法》印发至今城市更新项目推动过程中存在的障碍、难点，于第四条中进一步完善、明确区城市更新领导小组各成员单位的职责。</w:t>
      </w:r>
    </w:p>
    <w:p>
      <w:pPr>
        <w:keepNext w:val="0"/>
        <w:keepLines w:val="0"/>
        <w:pageBreakBefore w:val="0"/>
        <w:widowControl w:val="0"/>
        <w:numPr>
          <w:ilvl w:val="-1"/>
          <w:numId w:val="0"/>
        </w:numPr>
        <w:kinsoku/>
        <w:wordWrap/>
        <w:overflowPunct/>
        <w:topLinePunct w:val="0"/>
        <w:autoSpaceDE/>
        <w:autoSpaceDN/>
        <w:bidi w:val="0"/>
        <w:adjustRightInd/>
        <w:snapToGrid/>
        <w:spacing w:beforeLines="0" w:afterLines="0" w:line="560" w:lineRule="exact"/>
        <w:ind w:left="0" w:leftChars="0" w:firstLine="640" w:firstLineChars="200"/>
        <w:jc w:val="both"/>
        <w:textAlignment w:val="auto"/>
        <w:rPr>
          <w:rFonts w:hint="eastAsia" w:ascii="仿宋" w:hAnsi="仿宋" w:eastAsia="仿宋" w:cs="仿宋"/>
          <w:b w:val="0"/>
          <w:bCs w:val="0"/>
          <w:sz w:val="32"/>
          <w:szCs w:val="32"/>
          <w:lang w:val="en-US" w:eastAsia="zh-Hans"/>
        </w:rPr>
      </w:pPr>
      <w:r>
        <w:rPr>
          <w:rFonts w:hint="eastAsia" w:ascii="仿宋" w:hAnsi="仿宋" w:eastAsia="仿宋" w:cs="仿宋"/>
          <w:b w:val="0"/>
          <w:bCs w:val="0"/>
          <w:sz w:val="32"/>
          <w:szCs w:val="32"/>
          <w:lang w:val="en-US" w:eastAsia="zh-Hans"/>
        </w:rPr>
        <w:t>2.第五条中新增关于区城市更新部门建立城市更新决策咨询机制的规定。</w:t>
      </w:r>
    </w:p>
    <w:p>
      <w:pPr>
        <w:keepNext w:val="0"/>
        <w:keepLines w:val="0"/>
        <w:pageBreakBefore w:val="0"/>
        <w:widowControl w:val="0"/>
        <w:numPr>
          <w:ilvl w:val="0"/>
          <w:numId w:val="3"/>
        </w:numPr>
        <w:kinsoku/>
        <w:wordWrap/>
        <w:overflowPunct/>
        <w:topLinePunct w:val="0"/>
        <w:autoSpaceDE/>
        <w:autoSpaceDN/>
        <w:bidi w:val="0"/>
        <w:adjustRightInd/>
        <w:snapToGrid/>
        <w:spacing w:beforeLines="0" w:afterLines="0" w:line="560" w:lineRule="exact"/>
        <w:ind w:left="0" w:leftChars="0" w:firstLine="643" w:firstLineChars="200"/>
        <w:jc w:val="both"/>
        <w:textAlignment w:val="auto"/>
        <w:rPr>
          <w:rFonts w:hint="eastAsia" w:ascii="楷体_GB2312" w:hAnsi="楷体_GB2312" w:eastAsia="楷体_GB2312" w:cs="楷体_GB2312"/>
          <w:b/>
          <w:bCs/>
          <w:sz w:val="32"/>
          <w:szCs w:val="32"/>
          <w:lang w:val="en-US" w:eastAsia="zh-Hans"/>
        </w:rPr>
      </w:pPr>
      <w:r>
        <w:rPr>
          <w:rFonts w:hint="eastAsia" w:ascii="楷体_GB2312" w:hAnsi="楷体_GB2312" w:eastAsia="楷体_GB2312" w:cs="楷体_GB2312"/>
          <w:b/>
          <w:bCs/>
          <w:sz w:val="32"/>
          <w:szCs w:val="32"/>
          <w:lang w:val="en-US" w:eastAsia="zh-Hans"/>
        </w:rPr>
        <w:t>第二章“城市更新单元计划审批”</w:t>
      </w:r>
    </w:p>
    <w:p>
      <w:pPr>
        <w:keepNext w:val="0"/>
        <w:keepLines w:val="0"/>
        <w:pageBreakBefore w:val="0"/>
        <w:widowControl w:val="0"/>
        <w:numPr>
          <w:ilvl w:val="0"/>
          <w:numId w:val="4"/>
        </w:numPr>
        <w:kinsoku/>
        <w:wordWrap/>
        <w:overflowPunct/>
        <w:topLinePunct w:val="0"/>
        <w:autoSpaceDE/>
        <w:autoSpaceDN/>
        <w:bidi w:val="0"/>
        <w:adjustRightInd/>
        <w:snapToGrid/>
        <w:spacing w:beforeLines="0" w:afterLines="0" w:line="560" w:lineRule="exact"/>
        <w:ind w:left="0" w:leftChars="0" w:firstLine="640" w:firstLineChars="200"/>
        <w:jc w:val="both"/>
        <w:textAlignment w:val="auto"/>
        <w:rPr>
          <w:rFonts w:hint="eastAsia" w:ascii="仿宋" w:hAnsi="仿宋" w:eastAsia="仿宋" w:cs="仿宋"/>
          <w:b w:val="0"/>
          <w:bCs w:val="0"/>
          <w:sz w:val="32"/>
          <w:szCs w:val="32"/>
          <w:lang w:val="en-US" w:eastAsia="zh-Hans"/>
        </w:rPr>
      </w:pPr>
      <w:r>
        <w:rPr>
          <w:rFonts w:hint="eastAsia" w:ascii="仿宋" w:hAnsi="仿宋" w:eastAsia="仿宋" w:cs="仿宋"/>
          <w:b w:val="0"/>
          <w:bCs w:val="0"/>
          <w:sz w:val="32"/>
          <w:szCs w:val="32"/>
          <w:lang w:val="en-US" w:eastAsia="zh-Hans"/>
        </w:rPr>
        <w:t>结合《更新条例》《市规划和自然资源局关于做好城市更新项目历史遗留违法建筑物业权利人核实有关工作的通知》等相关规定，增加第七条，明确城市更新单元计划申报主体应向辖区街道办事处申请进行物业权利人核实规定及具体操作流程。</w:t>
      </w:r>
    </w:p>
    <w:p>
      <w:pPr>
        <w:keepNext w:val="0"/>
        <w:keepLines w:val="0"/>
        <w:pageBreakBefore w:val="0"/>
        <w:widowControl w:val="0"/>
        <w:numPr>
          <w:ilvl w:val="0"/>
          <w:numId w:val="4"/>
        </w:numPr>
        <w:kinsoku/>
        <w:wordWrap/>
        <w:overflowPunct/>
        <w:topLinePunct w:val="0"/>
        <w:autoSpaceDE/>
        <w:autoSpaceDN/>
        <w:bidi w:val="0"/>
        <w:adjustRightInd/>
        <w:snapToGrid/>
        <w:spacing w:beforeLines="0" w:afterLines="0" w:line="560" w:lineRule="exact"/>
        <w:ind w:left="0" w:leftChars="0" w:firstLine="640" w:firstLineChars="200"/>
        <w:jc w:val="both"/>
        <w:textAlignment w:val="auto"/>
        <w:rPr>
          <w:rFonts w:hint="eastAsia" w:ascii="仿宋" w:hAnsi="仿宋" w:eastAsia="仿宋" w:cs="仿宋"/>
          <w:b w:val="0"/>
          <w:bCs w:val="0"/>
          <w:sz w:val="32"/>
          <w:szCs w:val="32"/>
          <w:lang w:val="en-US" w:eastAsia="zh-Hans"/>
        </w:rPr>
      </w:pPr>
      <w:r>
        <w:rPr>
          <w:rFonts w:hint="eastAsia" w:ascii="仿宋" w:hAnsi="仿宋" w:eastAsia="仿宋" w:cs="仿宋"/>
          <w:b w:val="0"/>
          <w:bCs w:val="0"/>
          <w:sz w:val="32"/>
          <w:szCs w:val="32"/>
          <w:lang w:val="en-US" w:eastAsia="zh-Hans"/>
        </w:rPr>
        <w:t>优化计划审批规定内容，删减计划申请材料，并增加第十二条，强调计划调整、调出的申报、审批程序等事宜参照计划制定相关规定执行的要求。</w:t>
      </w:r>
    </w:p>
    <w:p>
      <w:pPr>
        <w:keepNext w:val="0"/>
        <w:keepLines w:val="0"/>
        <w:pageBreakBefore w:val="0"/>
        <w:widowControl w:val="0"/>
        <w:numPr>
          <w:ilvl w:val="0"/>
          <w:numId w:val="3"/>
        </w:numPr>
        <w:kinsoku/>
        <w:wordWrap/>
        <w:overflowPunct/>
        <w:topLinePunct w:val="0"/>
        <w:autoSpaceDE/>
        <w:autoSpaceDN/>
        <w:bidi w:val="0"/>
        <w:adjustRightInd/>
        <w:snapToGrid/>
        <w:spacing w:beforeLines="0" w:afterLines="0" w:line="560" w:lineRule="exact"/>
        <w:ind w:left="0" w:leftChars="0" w:firstLine="643" w:firstLineChars="200"/>
        <w:jc w:val="both"/>
        <w:textAlignment w:val="auto"/>
        <w:rPr>
          <w:rFonts w:hint="eastAsia" w:ascii="楷体_GB2312" w:hAnsi="楷体_GB2312" w:eastAsia="楷体_GB2312" w:cs="楷体_GB2312"/>
          <w:b/>
          <w:bCs/>
          <w:sz w:val="32"/>
          <w:szCs w:val="32"/>
          <w:lang w:val="en-US" w:eastAsia="zh-Hans"/>
        </w:rPr>
      </w:pPr>
      <w:r>
        <w:rPr>
          <w:rFonts w:hint="eastAsia" w:ascii="楷体_GB2312" w:hAnsi="楷体_GB2312" w:eastAsia="楷体_GB2312" w:cs="楷体_GB2312"/>
          <w:b/>
          <w:bCs/>
          <w:sz w:val="32"/>
          <w:szCs w:val="32"/>
          <w:lang w:val="en-US" w:eastAsia="zh-Hans"/>
        </w:rPr>
        <w:t>第三章“土地信息核查及历史用地处置”</w:t>
      </w:r>
    </w:p>
    <w:p>
      <w:pPr>
        <w:keepNext w:val="0"/>
        <w:keepLines w:val="0"/>
        <w:pageBreakBefore w:val="0"/>
        <w:widowControl w:val="0"/>
        <w:numPr>
          <w:ilvl w:val="-1"/>
          <w:numId w:val="0"/>
        </w:numPr>
        <w:kinsoku/>
        <w:wordWrap/>
        <w:overflowPunct/>
        <w:topLinePunct w:val="0"/>
        <w:autoSpaceDE/>
        <w:autoSpaceDN/>
        <w:bidi w:val="0"/>
        <w:adjustRightInd/>
        <w:snapToGrid/>
        <w:spacing w:beforeLines="0" w:afterLines="0" w:line="560" w:lineRule="exact"/>
        <w:ind w:left="0" w:leftChars="0" w:firstLine="640" w:firstLineChars="200"/>
        <w:jc w:val="both"/>
        <w:textAlignment w:val="auto"/>
        <w:rPr>
          <w:rFonts w:hint="eastAsia" w:ascii="仿宋" w:hAnsi="仿宋" w:eastAsia="仿宋" w:cs="仿宋"/>
          <w:sz w:val="32"/>
          <w:szCs w:val="32"/>
          <w:lang w:eastAsia="zh-Hans"/>
        </w:rPr>
      </w:pPr>
      <w:r>
        <w:rPr>
          <w:rFonts w:hint="eastAsia" w:ascii="仿宋" w:hAnsi="仿宋" w:eastAsia="仿宋" w:cs="仿宋"/>
          <w:sz w:val="32"/>
          <w:szCs w:val="32"/>
          <w:lang w:eastAsia="zh-Hans"/>
        </w:rPr>
        <w:t>第十三条中更新完善关于信息核查、历史用地处置的相关表述。</w:t>
      </w:r>
    </w:p>
    <w:p>
      <w:pPr>
        <w:keepNext w:val="0"/>
        <w:keepLines w:val="0"/>
        <w:pageBreakBefore w:val="0"/>
        <w:widowControl w:val="0"/>
        <w:numPr>
          <w:ilvl w:val="0"/>
          <w:numId w:val="3"/>
        </w:numPr>
        <w:kinsoku/>
        <w:wordWrap/>
        <w:overflowPunct/>
        <w:topLinePunct w:val="0"/>
        <w:autoSpaceDE/>
        <w:autoSpaceDN/>
        <w:bidi w:val="0"/>
        <w:adjustRightInd/>
        <w:snapToGrid/>
        <w:spacing w:beforeLines="0" w:afterLines="0" w:line="560" w:lineRule="exact"/>
        <w:ind w:left="0" w:leftChars="0" w:firstLine="643" w:firstLineChars="200"/>
        <w:jc w:val="both"/>
        <w:textAlignment w:val="auto"/>
        <w:rPr>
          <w:rFonts w:hint="eastAsia" w:ascii="楷体_GB2312" w:hAnsi="楷体_GB2312" w:eastAsia="楷体_GB2312" w:cs="楷体_GB2312"/>
          <w:b/>
          <w:bCs/>
          <w:sz w:val="32"/>
          <w:szCs w:val="32"/>
          <w:lang w:val="en-US" w:eastAsia="zh-Hans"/>
        </w:rPr>
      </w:pPr>
      <w:r>
        <w:rPr>
          <w:rFonts w:hint="eastAsia" w:ascii="楷体_GB2312" w:hAnsi="楷体_GB2312" w:eastAsia="楷体_GB2312" w:cs="楷体_GB2312"/>
          <w:b/>
          <w:bCs/>
          <w:sz w:val="32"/>
          <w:szCs w:val="32"/>
          <w:lang w:val="en-US" w:eastAsia="zh-Hans"/>
        </w:rPr>
        <w:t>第四章“城市更新单元规划审批”</w:t>
      </w:r>
    </w:p>
    <w:p>
      <w:pPr>
        <w:keepNext w:val="0"/>
        <w:keepLines w:val="0"/>
        <w:pageBreakBefore w:val="0"/>
        <w:widowControl w:val="0"/>
        <w:numPr>
          <w:ilvl w:val="0"/>
          <w:numId w:val="5"/>
        </w:numPr>
        <w:kinsoku/>
        <w:wordWrap/>
        <w:overflowPunct/>
        <w:topLinePunct w:val="0"/>
        <w:autoSpaceDE/>
        <w:autoSpaceDN/>
        <w:bidi w:val="0"/>
        <w:adjustRightInd/>
        <w:snapToGrid/>
        <w:spacing w:beforeLines="0" w:afterLines="0" w:line="560" w:lineRule="exact"/>
        <w:ind w:left="0" w:leftChars="0" w:firstLine="640" w:firstLineChars="200"/>
        <w:jc w:val="both"/>
        <w:textAlignment w:val="auto"/>
        <w:rPr>
          <w:rFonts w:hint="eastAsia" w:ascii="仿宋" w:hAnsi="仿宋" w:eastAsia="仿宋" w:cs="仿宋"/>
          <w:sz w:val="32"/>
          <w:szCs w:val="32"/>
          <w:lang w:eastAsia="zh-Hans"/>
        </w:rPr>
      </w:pPr>
      <w:r>
        <w:rPr>
          <w:rFonts w:hint="eastAsia" w:ascii="仿宋" w:hAnsi="仿宋" w:eastAsia="仿宋" w:cs="仿宋"/>
          <w:sz w:val="32"/>
          <w:szCs w:val="32"/>
          <w:lang w:eastAsia="zh-Hans"/>
        </w:rPr>
        <w:t>第十六条中明确对于结转至2010年规划制定计划项目没有明确计划申报主体，规范申报主体的确定。</w:t>
      </w:r>
    </w:p>
    <w:p>
      <w:pPr>
        <w:keepNext w:val="0"/>
        <w:keepLines w:val="0"/>
        <w:pageBreakBefore w:val="0"/>
        <w:widowControl w:val="0"/>
        <w:numPr>
          <w:ilvl w:val="0"/>
          <w:numId w:val="5"/>
        </w:numPr>
        <w:kinsoku/>
        <w:wordWrap/>
        <w:overflowPunct/>
        <w:topLinePunct w:val="0"/>
        <w:autoSpaceDE/>
        <w:autoSpaceDN/>
        <w:bidi w:val="0"/>
        <w:adjustRightInd/>
        <w:snapToGrid/>
        <w:spacing w:beforeLines="0" w:afterLines="0" w:line="560" w:lineRule="exact"/>
        <w:ind w:left="0" w:leftChars="0" w:firstLine="640" w:firstLineChars="200"/>
        <w:jc w:val="both"/>
        <w:textAlignment w:val="auto"/>
        <w:rPr>
          <w:rFonts w:hint="eastAsia" w:ascii="仿宋" w:hAnsi="仿宋" w:eastAsia="仿宋" w:cs="仿宋"/>
          <w:sz w:val="32"/>
          <w:szCs w:val="32"/>
          <w:lang w:eastAsia="zh-Hans"/>
        </w:rPr>
      </w:pPr>
      <w:r>
        <w:rPr>
          <w:rFonts w:hint="eastAsia" w:ascii="仿宋" w:hAnsi="仿宋" w:eastAsia="仿宋" w:cs="仿宋"/>
          <w:sz w:val="32"/>
          <w:szCs w:val="32"/>
          <w:lang w:eastAsia="zh-Hans"/>
        </w:rPr>
        <w:t>优化规划审批规定内容，删减规划申请材料，增加第二十条、第二十一条，明确城市更新单元规划修改及规划容积确定依照相关规定执行的要求。</w:t>
      </w:r>
    </w:p>
    <w:p>
      <w:pPr>
        <w:keepNext w:val="0"/>
        <w:keepLines w:val="0"/>
        <w:pageBreakBefore w:val="0"/>
        <w:widowControl w:val="0"/>
        <w:numPr>
          <w:ilvl w:val="0"/>
          <w:numId w:val="3"/>
        </w:numPr>
        <w:kinsoku/>
        <w:wordWrap/>
        <w:overflowPunct/>
        <w:topLinePunct w:val="0"/>
        <w:autoSpaceDE/>
        <w:autoSpaceDN/>
        <w:bidi w:val="0"/>
        <w:adjustRightInd/>
        <w:snapToGrid/>
        <w:spacing w:beforeLines="0" w:afterLines="0" w:line="560" w:lineRule="exact"/>
        <w:ind w:left="0" w:leftChars="0" w:firstLine="643" w:firstLineChars="200"/>
        <w:jc w:val="both"/>
        <w:textAlignment w:val="auto"/>
        <w:rPr>
          <w:rFonts w:hint="eastAsia" w:ascii="楷体_GB2312" w:hAnsi="楷体_GB2312" w:eastAsia="楷体_GB2312" w:cs="楷体_GB2312"/>
          <w:b/>
          <w:bCs/>
          <w:sz w:val="32"/>
          <w:szCs w:val="32"/>
          <w:lang w:val="en-US" w:eastAsia="zh-Hans"/>
        </w:rPr>
      </w:pPr>
      <w:r>
        <w:rPr>
          <w:rFonts w:hint="eastAsia" w:ascii="楷体_GB2312" w:hAnsi="楷体_GB2312" w:eastAsia="楷体_GB2312" w:cs="楷体_GB2312"/>
          <w:b/>
          <w:bCs/>
          <w:sz w:val="32"/>
          <w:szCs w:val="32"/>
          <w:lang w:val="en-US" w:eastAsia="zh-Hans"/>
        </w:rPr>
        <w:t>第五章“实施主体确认”</w:t>
      </w:r>
    </w:p>
    <w:p>
      <w:pPr>
        <w:keepNext w:val="0"/>
        <w:keepLines w:val="0"/>
        <w:pageBreakBefore w:val="0"/>
        <w:widowControl w:val="0"/>
        <w:numPr>
          <w:ilvl w:val="0"/>
          <w:numId w:val="6"/>
        </w:numPr>
        <w:kinsoku/>
        <w:wordWrap/>
        <w:overflowPunct/>
        <w:topLinePunct w:val="0"/>
        <w:autoSpaceDE/>
        <w:autoSpaceDN/>
        <w:bidi w:val="0"/>
        <w:adjustRightInd/>
        <w:snapToGrid/>
        <w:spacing w:beforeLines="0" w:afterLines="0" w:line="560" w:lineRule="exact"/>
        <w:ind w:left="0" w:leftChars="0" w:firstLine="640" w:firstLineChars="200"/>
        <w:jc w:val="both"/>
        <w:textAlignment w:val="auto"/>
        <w:rPr>
          <w:rFonts w:hint="eastAsia" w:ascii="仿宋" w:hAnsi="仿宋" w:eastAsia="仿宋" w:cs="仿宋"/>
          <w:sz w:val="32"/>
          <w:szCs w:val="32"/>
          <w:lang w:eastAsia="zh-Hans"/>
        </w:rPr>
      </w:pPr>
      <w:r>
        <w:rPr>
          <w:rFonts w:hint="eastAsia" w:ascii="仿宋" w:hAnsi="仿宋" w:eastAsia="仿宋" w:cs="仿宋"/>
          <w:sz w:val="32"/>
          <w:szCs w:val="32"/>
          <w:lang w:eastAsia="zh-Hans"/>
        </w:rPr>
        <w:t>为保障区属国有资产、集体资产，明确要求按有关规定办理处置手续</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并明确城市更新项目应</w:t>
      </w:r>
      <w:r>
        <w:rPr>
          <w:rFonts w:hint="eastAsia" w:ascii="仿宋" w:hAnsi="仿宋" w:eastAsia="仿宋" w:cs="仿宋"/>
          <w:sz w:val="32"/>
          <w:szCs w:val="32"/>
        </w:rPr>
        <w:t>在实施主体确认阶段</w:t>
      </w:r>
      <w:r>
        <w:rPr>
          <w:rFonts w:hint="eastAsia" w:ascii="仿宋" w:hAnsi="仿宋" w:eastAsia="仿宋" w:cs="仿宋"/>
          <w:sz w:val="32"/>
          <w:szCs w:val="32"/>
          <w:lang w:val="en-US" w:eastAsia="zh-CN"/>
        </w:rPr>
        <w:t>就完善相关处置手续情况</w:t>
      </w:r>
      <w:r>
        <w:rPr>
          <w:rFonts w:hint="eastAsia" w:ascii="仿宋" w:hAnsi="仿宋" w:eastAsia="仿宋" w:cs="仿宋"/>
          <w:sz w:val="32"/>
          <w:szCs w:val="32"/>
        </w:rPr>
        <w:t>征求区国有资产监督管理局意见</w:t>
      </w:r>
      <w:r>
        <w:rPr>
          <w:rFonts w:hint="eastAsia" w:ascii="仿宋" w:hAnsi="仿宋" w:eastAsia="仿宋" w:cs="仿宋"/>
          <w:sz w:val="32"/>
          <w:szCs w:val="32"/>
          <w:lang w:eastAsia="zh-Hans"/>
        </w:rPr>
        <w:t>。</w:t>
      </w:r>
    </w:p>
    <w:p>
      <w:pPr>
        <w:keepNext w:val="0"/>
        <w:keepLines w:val="0"/>
        <w:pageBreakBefore w:val="0"/>
        <w:widowControl w:val="0"/>
        <w:numPr>
          <w:ilvl w:val="0"/>
          <w:numId w:val="6"/>
        </w:numPr>
        <w:kinsoku/>
        <w:wordWrap/>
        <w:overflowPunct/>
        <w:topLinePunct w:val="0"/>
        <w:autoSpaceDE/>
        <w:autoSpaceDN/>
        <w:bidi w:val="0"/>
        <w:adjustRightInd/>
        <w:snapToGrid/>
        <w:spacing w:beforeLines="0" w:afterLines="0" w:line="560" w:lineRule="exact"/>
        <w:ind w:left="0" w:leftChars="0" w:firstLine="640" w:firstLineChars="200"/>
        <w:jc w:val="both"/>
        <w:textAlignment w:val="auto"/>
        <w:rPr>
          <w:rFonts w:hint="eastAsia" w:ascii="仿宋" w:hAnsi="仿宋" w:eastAsia="仿宋" w:cs="仿宋"/>
          <w:sz w:val="32"/>
          <w:szCs w:val="32"/>
          <w:lang w:eastAsia="zh-Hans"/>
        </w:rPr>
      </w:pPr>
      <w:r>
        <w:rPr>
          <w:rFonts w:hint="eastAsia" w:ascii="仿宋" w:hAnsi="仿宋" w:eastAsia="仿宋" w:cs="仿宋"/>
          <w:sz w:val="32"/>
          <w:szCs w:val="32"/>
          <w:lang w:eastAsia="zh-Hans"/>
        </w:rPr>
        <w:t>结合《更新条例》有关规定，增加第二十四条，搬迁补偿协议原则采用示范文本，规范搬迁补偿行为并明确信息共享推送制度。</w:t>
      </w:r>
    </w:p>
    <w:p>
      <w:pPr>
        <w:keepNext w:val="0"/>
        <w:keepLines w:val="0"/>
        <w:pageBreakBefore w:val="0"/>
        <w:widowControl w:val="0"/>
        <w:numPr>
          <w:ilvl w:val="0"/>
          <w:numId w:val="6"/>
        </w:numPr>
        <w:kinsoku/>
        <w:wordWrap/>
        <w:overflowPunct/>
        <w:topLinePunct w:val="0"/>
        <w:autoSpaceDE/>
        <w:autoSpaceDN/>
        <w:bidi w:val="0"/>
        <w:adjustRightInd/>
        <w:snapToGrid/>
        <w:spacing w:beforeLines="0" w:afterLines="0" w:line="560" w:lineRule="exact"/>
        <w:ind w:left="0" w:leftChars="0" w:firstLine="640" w:firstLineChars="200"/>
        <w:jc w:val="both"/>
        <w:textAlignment w:val="auto"/>
        <w:rPr>
          <w:rFonts w:hint="eastAsia" w:ascii="仿宋" w:hAnsi="仿宋" w:eastAsia="仿宋" w:cs="仿宋"/>
          <w:sz w:val="32"/>
          <w:szCs w:val="32"/>
          <w:lang w:eastAsia="zh-Hans"/>
        </w:rPr>
      </w:pPr>
      <w:r>
        <w:rPr>
          <w:rFonts w:hint="eastAsia" w:ascii="仿宋" w:hAnsi="仿宋" w:eastAsia="仿宋" w:cs="仿宋"/>
          <w:sz w:val="32"/>
          <w:szCs w:val="32"/>
          <w:lang w:eastAsia="zh-Hans"/>
        </w:rPr>
        <w:t>结合《更新条例》有关规定，进一步明确拆迁难的破解路径，增加第二十五条、第二十六条</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第二十七条</w:t>
      </w:r>
      <w:r>
        <w:rPr>
          <w:rFonts w:hint="eastAsia" w:ascii="仿宋" w:hAnsi="仿宋" w:eastAsia="仿宋" w:cs="仿宋"/>
          <w:sz w:val="32"/>
          <w:szCs w:val="32"/>
          <w:lang w:eastAsia="zh-Hans"/>
        </w:rPr>
        <w:t>，明确行政调解单位、城市更新项目启动行政征收条件等事宜。</w:t>
      </w:r>
    </w:p>
    <w:p>
      <w:pPr>
        <w:keepNext w:val="0"/>
        <w:keepLines w:val="0"/>
        <w:pageBreakBefore w:val="0"/>
        <w:widowControl w:val="0"/>
        <w:numPr>
          <w:ilvl w:val="0"/>
          <w:numId w:val="6"/>
        </w:numPr>
        <w:kinsoku/>
        <w:wordWrap/>
        <w:overflowPunct/>
        <w:topLinePunct w:val="0"/>
        <w:autoSpaceDE/>
        <w:autoSpaceDN/>
        <w:bidi w:val="0"/>
        <w:adjustRightInd/>
        <w:snapToGrid/>
        <w:spacing w:beforeLines="0" w:afterLines="0" w:line="560" w:lineRule="exact"/>
        <w:ind w:left="0" w:leftChars="0" w:firstLine="640" w:firstLineChars="200"/>
        <w:jc w:val="both"/>
        <w:textAlignment w:val="auto"/>
        <w:rPr>
          <w:rFonts w:hint="eastAsia" w:ascii="仿宋" w:hAnsi="仿宋" w:eastAsia="仿宋" w:cs="仿宋"/>
          <w:sz w:val="32"/>
          <w:szCs w:val="32"/>
          <w:lang w:eastAsia="zh-Hans"/>
        </w:rPr>
      </w:pPr>
      <w:r>
        <w:rPr>
          <w:rFonts w:hint="eastAsia" w:ascii="仿宋" w:hAnsi="仿宋" w:eastAsia="仿宋" w:cs="仿宋"/>
          <w:sz w:val="32"/>
          <w:szCs w:val="32"/>
          <w:lang w:eastAsia="zh-Hans"/>
        </w:rPr>
        <w:t>第二十八条中更新申请实施主体资格确认应提交的材料要求。</w:t>
      </w:r>
    </w:p>
    <w:p>
      <w:pPr>
        <w:keepNext w:val="0"/>
        <w:keepLines w:val="0"/>
        <w:pageBreakBefore w:val="0"/>
        <w:widowControl w:val="0"/>
        <w:numPr>
          <w:ilvl w:val="0"/>
          <w:numId w:val="6"/>
        </w:numPr>
        <w:kinsoku/>
        <w:wordWrap/>
        <w:overflowPunct/>
        <w:topLinePunct w:val="0"/>
        <w:autoSpaceDE/>
        <w:autoSpaceDN/>
        <w:bidi w:val="0"/>
        <w:adjustRightInd/>
        <w:snapToGrid/>
        <w:spacing w:beforeLines="0" w:afterLines="0" w:line="560" w:lineRule="exact"/>
        <w:ind w:left="0" w:leftChars="0" w:firstLine="640" w:firstLineChars="200"/>
        <w:jc w:val="both"/>
        <w:textAlignment w:val="auto"/>
        <w:rPr>
          <w:rFonts w:hint="eastAsia" w:ascii="仿宋" w:hAnsi="仿宋" w:eastAsia="仿宋" w:cs="仿宋"/>
          <w:sz w:val="32"/>
          <w:szCs w:val="32"/>
          <w:lang w:eastAsia="zh-Hans"/>
        </w:rPr>
      </w:pPr>
      <w:r>
        <w:rPr>
          <w:rFonts w:hint="eastAsia" w:ascii="仿宋" w:hAnsi="仿宋" w:eastAsia="仿宋" w:cs="仿宋"/>
          <w:sz w:val="32"/>
          <w:szCs w:val="32"/>
          <w:lang w:eastAsia="zh-Hans"/>
        </w:rPr>
        <w:t>第二十九条中调整土地、建筑物权利人情况及单一主体形成情况的公示期限为10日，保障公众对实施主体确认的知情权、参与权和监督权。</w:t>
      </w:r>
    </w:p>
    <w:p>
      <w:pPr>
        <w:keepNext w:val="0"/>
        <w:keepLines w:val="0"/>
        <w:pageBreakBefore w:val="0"/>
        <w:widowControl w:val="0"/>
        <w:numPr>
          <w:ilvl w:val="0"/>
          <w:numId w:val="6"/>
        </w:numPr>
        <w:kinsoku/>
        <w:wordWrap/>
        <w:overflowPunct/>
        <w:topLinePunct w:val="0"/>
        <w:autoSpaceDE/>
        <w:autoSpaceDN/>
        <w:bidi w:val="0"/>
        <w:adjustRightInd/>
        <w:snapToGrid/>
        <w:spacing w:beforeLines="0" w:afterLines="0" w:line="560" w:lineRule="exact"/>
        <w:ind w:left="0" w:leftChars="0" w:firstLine="640" w:firstLineChars="200"/>
        <w:jc w:val="both"/>
        <w:textAlignment w:val="auto"/>
        <w:rPr>
          <w:rFonts w:hint="eastAsia" w:ascii="仿宋" w:hAnsi="仿宋" w:eastAsia="仿宋" w:cs="仿宋"/>
          <w:sz w:val="32"/>
          <w:szCs w:val="32"/>
          <w:lang w:eastAsia="zh-Hans"/>
        </w:rPr>
      </w:pPr>
      <w:r>
        <w:rPr>
          <w:rFonts w:hint="eastAsia" w:ascii="仿宋" w:hAnsi="仿宋" w:eastAsia="仿宋" w:cs="仿宋"/>
          <w:sz w:val="32"/>
          <w:szCs w:val="32"/>
          <w:lang w:eastAsia="zh-Hans"/>
        </w:rPr>
        <w:t>结合《更新条例》有关规定，第三十条中新增确认实施主体后有关部门和机构应当暂停办理拆除范围内物业的审批、登记的要求。</w:t>
      </w:r>
    </w:p>
    <w:p>
      <w:pPr>
        <w:keepNext w:val="0"/>
        <w:keepLines w:val="0"/>
        <w:pageBreakBefore w:val="0"/>
        <w:widowControl w:val="0"/>
        <w:numPr>
          <w:ilvl w:val="0"/>
          <w:numId w:val="3"/>
        </w:numPr>
        <w:kinsoku/>
        <w:wordWrap/>
        <w:overflowPunct/>
        <w:topLinePunct w:val="0"/>
        <w:autoSpaceDE/>
        <w:autoSpaceDN/>
        <w:bidi w:val="0"/>
        <w:adjustRightInd/>
        <w:snapToGrid/>
        <w:spacing w:beforeLines="0" w:afterLines="0" w:line="560" w:lineRule="exact"/>
        <w:ind w:left="0" w:leftChars="0" w:firstLine="643" w:firstLineChars="200"/>
        <w:jc w:val="both"/>
        <w:textAlignment w:val="auto"/>
        <w:rPr>
          <w:rFonts w:hint="eastAsia" w:ascii="楷体_GB2312" w:hAnsi="楷体_GB2312" w:eastAsia="楷体_GB2312" w:cs="楷体_GB2312"/>
          <w:b/>
          <w:bCs/>
          <w:sz w:val="32"/>
          <w:szCs w:val="32"/>
          <w:lang w:val="en-US" w:eastAsia="zh-Hans"/>
        </w:rPr>
      </w:pPr>
      <w:r>
        <w:rPr>
          <w:rFonts w:hint="eastAsia" w:ascii="楷体_GB2312" w:hAnsi="楷体_GB2312" w:eastAsia="楷体_GB2312" w:cs="楷体_GB2312"/>
          <w:b/>
          <w:bCs/>
          <w:sz w:val="32"/>
          <w:szCs w:val="32"/>
          <w:lang w:val="en-US" w:eastAsia="zh-Hans"/>
        </w:rPr>
        <w:t>第六章“用地移交与建设用地审批”</w:t>
      </w:r>
    </w:p>
    <w:p>
      <w:pPr>
        <w:keepNext w:val="0"/>
        <w:keepLines w:val="0"/>
        <w:pageBreakBefore w:val="0"/>
        <w:widowControl w:val="0"/>
        <w:numPr>
          <w:ilvl w:val="0"/>
          <w:numId w:val="7"/>
        </w:numPr>
        <w:kinsoku/>
        <w:wordWrap/>
        <w:overflowPunct/>
        <w:topLinePunct w:val="0"/>
        <w:autoSpaceDE/>
        <w:autoSpaceDN/>
        <w:bidi w:val="0"/>
        <w:adjustRightInd/>
        <w:snapToGrid/>
        <w:spacing w:beforeLines="0" w:afterLines="0" w:line="560" w:lineRule="exact"/>
        <w:ind w:left="0" w:leftChars="0" w:firstLine="640" w:firstLineChars="200"/>
        <w:jc w:val="both"/>
        <w:textAlignment w:val="auto"/>
        <w:rPr>
          <w:rFonts w:hint="eastAsia" w:ascii="仿宋" w:hAnsi="仿宋" w:eastAsia="仿宋" w:cs="仿宋"/>
          <w:sz w:val="32"/>
          <w:szCs w:val="32"/>
          <w:lang w:eastAsia="zh-Hans"/>
        </w:rPr>
      </w:pPr>
      <w:r>
        <w:rPr>
          <w:rFonts w:hint="eastAsia" w:ascii="仿宋" w:hAnsi="仿宋" w:eastAsia="仿宋" w:cs="仿宋"/>
          <w:sz w:val="32"/>
          <w:szCs w:val="32"/>
          <w:lang w:eastAsia="zh-Hans"/>
        </w:rPr>
        <w:t>结合《更新条例》有关规定，第三十三条中新增并明确办理无偿移交政府公共用地地上建筑物提前拆除的办理程序，保障被搬迁人合法权益。</w:t>
      </w:r>
    </w:p>
    <w:p>
      <w:pPr>
        <w:keepNext w:val="0"/>
        <w:keepLines w:val="0"/>
        <w:pageBreakBefore w:val="0"/>
        <w:widowControl w:val="0"/>
        <w:numPr>
          <w:ilvl w:val="0"/>
          <w:numId w:val="7"/>
        </w:numPr>
        <w:kinsoku/>
        <w:wordWrap/>
        <w:overflowPunct/>
        <w:topLinePunct w:val="0"/>
        <w:autoSpaceDE/>
        <w:autoSpaceDN/>
        <w:bidi w:val="0"/>
        <w:adjustRightInd/>
        <w:snapToGrid/>
        <w:spacing w:beforeLines="0" w:afterLines="0" w:line="560" w:lineRule="exact"/>
        <w:ind w:left="0" w:leftChars="0" w:firstLine="640" w:firstLineChars="200"/>
        <w:jc w:val="both"/>
        <w:textAlignment w:val="auto"/>
        <w:rPr>
          <w:rFonts w:hint="eastAsia" w:ascii="仿宋" w:hAnsi="仿宋" w:eastAsia="仿宋" w:cs="仿宋"/>
          <w:sz w:val="32"/>
          <w:szCs w:val="32"/>
          <w:lang w:eastAsia="zh-Hans"/>
        </w:rPr>
      </w:pPr>
      <w:r>
        <w:rPr>
          <w:rFonts w:hint="eastAsia" w:ascii="仿宋" w:hAnsi="仿宋" w:eastAsia="仿宋" w:cs="仿宋"/>
          <w:sz w:val="32"/>
          <w:szCs w:val="32"/>
          <w:lang w:eastAsia="zh-Hans"/>
        </w:rPr>
        <w:t>结合城市更新运作实际程序，第三十七条中新增涉及产业项目及保障性住房签订监管协议的相关要求。</w:t>
      </w:r>
    </w:p>
    <w:p>
      <w:pPr>
        <w:keepNext w:val="0"/>
        <w:keepLines w:val="0"/>
        <w:pageBreakBefore w:val="0"/>
        <w:widowControl w:val="0"/>
        <w:numPr>
          <w:ilvl w:val="0"/>
          <w:numId w:val="7"/>
        </w:numPr>
        <w:kinsoku/>
        <w:wordWrap/>
        <w:overflowPunct/>
        <w:topLinePunct w:val="0"/>
        <w:autoSpaceDE/>
        <w:autoSpaceDN/>
        <w:bidi w:val="0"/>
        <w:adjustRightInd/>
        <w:snapToGrid/>
        <w:spacing w:beforeLines="0" w:afterLines="0" w:line="560" w:lineRule="exact"/>
        <w:ind w:left="0" w:leftChars="0" w:firstLine="640" w:firstLineChars="200"/>
        <w:jc w:val="both"/>
        <w:textAlignment w:val="auto"/>
        <w:rPr>
          <w:rFonts w:hint="eastAsia" w:ascii="仿宋" w:hAnsi="仿宋" w:eastAsia="仿宋" w:cs="仿宋"/>
          <w:sz w:val="32"/>
          <w:szCs w:val="32"/>
          <w:lang w:eastAsia="zh-Hans"/>
        </w:rPr>
      </w:pPr>
      <w:r>
        <w:rPr>
          <w:rFonts w:hint="eastAsia" w:ascii="仿宋" w:hAnsi="仿宋" w:eastAsia="仿宋" w:cs="仿宋"/>
          <w:sz w:val="32"/>
          <w:szCs w:val="32"/>
          <w:lang w:eastAsia="zh-Hans"/>
        </w:rPr>
        <w:t>增加第三十八条，明确涉及未完善土地征转用补偿及经济关系理清的相关事宜。</w:t>
      </w:r>
    </w:p>
    <w:p>
      <w:pPr>
        <w:keepNext w:val="0"/>
        <w:keepLines w:val="0"/>
        <w:pageBreakBefore w:val="0"/>
        <w:widowControl w:val="0"/>
        <w:numPr>
          <w:ilvl w:val="0"/>
          <w:numId w:val="3"/>
        </w:numPr>
        <w:kinsoku/>
        <w:wordWrap/>
        <w:overflowPunct/>
        <w:topLinePunct w:val="0"/>
        <w:autoSpaceDE/>
        <w:autoSpaceDN/>
        <w:bidi w:val="0"/>
        <w:adjustRightInd/>
        <w:snapToGrid/>
        <w:spacing w:beforeLines="0" w:afterLines="0" w:line="560" w:lineRule="exact"/>
        <w:ind w:left="0" w:leftChars="0" w:firstLine="643" w:firstLineChars="200"/>
        <w:jc w:val="both"/>
        <w:textAlignment w:val="auto"/>
        <w:rPr>
          <w:rFonts w:hint="eastAsia" w:ascii="楷体_GB2312" w:hAnsi="楷体_GB2312" w:eastAsia="楷体_GB2312" w:cs="楷体_GB2312"/>
          <w:b/>
          <w:bCs/>
          <w:sz w:val="32"/>
          <w:szCs w:val="32"/>
          <w:lang w:val="en-US" w:eastAsia="zh-Hans"/>
        </w:rPr>
      </w:pPr>
      <w:r>
        <w:rPr>
          <w:rFonts w:hint="eastAsia" w:ascii="楷体_GB2312" w:hAnsi="楷体_GB2312" w:eastAsia="楷体_GB2312" w:cs="楷体_GB2312"/>
          <w:b/>
          <w:bCs/>
          <w:sz w:val="32"/>
          <w:szCs w:val="32"/>
          <w:lang w:val="en-US" w:eastAsia="zh-Hans"/>
        </w:rPr>
        <w:t>第八章“项目监管”</w:t>
      </w:r>
    </w:p>
    <w:p>
      <w:pPr>
        <w:keepNext w:val="0"/>
        <w:keepLines w:val="0"/>
        <w:pageBreakBefore w:val="0"/>
        <w:widowControl w:val="0"/>
        <w:numPr>
          <w:ilvl w:val="0"/>
          <w:numId w:val="8"/>
        </w:numPr>
        <w:kinsoku/>
        <w:wordWrap/>
        <w:overflowPunct/>
        <w:topLinePunct w:val="0"/>
        <w:autoSpaceDE/>
        <w:autoSpaceDN/>
        <w:bidi w:val="0"/>
        <w:adjustRightInd/>
        <w:snapToGrid/>
        <w:spacing w:beforeLines="0" w:afterLines="0" w:line="560" w:lineRule="exact"/>
        <w:ind w:left="0" w:leftChars="0" w:firstLine="640" w:firstLineChars="200"/>
        <w:jc w:val="both"/>
        <w:textAlignment w:val="auto"/>
        <w:rPr>
          <w:rFonts w:hint="eastAsia" w:ascii="仿宋" w:hAnsi="仿宋" w:eastAsia="仿宋" w:cs="仿宋"/>
          <w:sz w:val="32"/>
          <w:szCs w:val="32"/>
          <w:lang w:eastAsia="zh-Hans"/>
        </w:rPr>
      </w:pPr>
      <w:r>
        <w:rPr>
          <w:rFonts w:hint="eastAsia" w:ascii="仿宋" w:hAnsi="仿宋" w:eastAsia="仿宋" w:cs="仿宋"/>
          <w:sz w:val="32"/>
          <w:szCs w:val="32"/>
          <w:lang w:eastAsia="zh-Hans"/>
        </w:rPr>
        <w:t>参考各区监管资金建设成本核算标准及《深圳市各类物业建筑安装工程总造价标准》，结合龙华区实际情况，第四十六条中调整城市更新项目实施监管资金中建设成本核算的金额标准。</w:t>
      </w:r>
    </w:p>
    <w:p>
      <w:pPr>
        <w:keepNext w:val="0"/>
        <w:keepLines w:val="0"/>
        <w:pageBreakBefore w:val="0"/>
        <w:widowControl w:val="0"/>
        <w:numPr>
          <w:ilvl w:val="0"/>
          <w:numId w:val="8"/>
        </w:numPr>
        <w:kinsoku/>
        <w:wordWrap/>
        <w:overflowPunct/>
        <w:topLinePunct w:val="0"/>
        <w:autoSpaceDE/>
        <w:autoSpaceDN/>
        <w:bidi w:val="0"/>
        <w:adjustRightInd/>
        <w:snapToGrid/>
        <w:spacing w:beforeLines="0" w:afterLines="0" w:line="560" w:lineRule="exact"/>
        <w:ind w:left="0" w:leftChars="0" w:firstLine="640" w:firstLineChars="200"/>
        <w:jc w:val="both"/>
        <w:textAlignment w:val="auto"/>
        <w:rPr>
          <w:rFonts w:hint="eastAsia" w:ascii="仿宋" w:hAnsi="仿宋" w:eastAsia="仿宋" w:cs="仿宋"/>
          <w:sz w:val="32"/>
          <w:szCs w:val="32"/>
          <w:lang w:eastAsia="zh-Hans"/>
        </w:rPr>
      </w:pPr>
      <w:r>
        <w:rPr>
          <w:rFonts w:hint="eastAsia" w:ascii="仿宋" w:hAnsi="仿宋" w:eastAsia="仿宋" w:cs="仿宋"/>
          <w:sz w:val="32"/>
          <w:szCs w:val="32"/>
          <w:lang w:eastAsia="zh-Hans"/>
        </w:rPr>
        <w:t>结合城市更新运作实际程序，第四十八条中明确负责接收、管理公共住房及配建的创新型产业用房、政府公共配套设施的单位。</w:t>
      </w:r>
    </w:p>
    <w:p>
      <w:pPr>
        <w:keepNext w:val="0"/>
        <w:keepLines w:val="0"/>
        <w:pageBreakBefore w:val="0"/>
        <w:widowControl w:val="0"/>
        <w:numPr>
          <w:ilvl w:val="0"/>
          <w:numId w:val="8"/>
        </w:numPr>
        <w:kinsoku/>
        <w:wordWrap/>
        <w:overflowPunct/>
        <w:topLinePunct w:val="0"/>
        <w:autoSpaceDE/>
        <w:autoSpaceDN/>
        <w:bidi w:val="0"/>
        <w:adjustRightInd/>
        <w:snapToGrid/>
        <w:spacing w:beforeLines="0" w:afterLines="0" w:line="560" w:lineRule="exact"/>
        <w:ind w:left="0" w:leftChars="0" w:firstLine="640" w:firstLineChars="200"/>
        <w:jc w:val="both"/>
        <w:textAlignment w:val="auto"/>
        <w:rPr>
          <w:rFonts w:hint="eastAsia" w:ascii="仿宋" w:hAnsi="仿宋" w:eastAsia="仿宋" w:cs="仿宋"/>
          <w:sz w:val="32"/>
          <w:szCs w:val="32"/>
          <w:lang w:eastAsia="zh-Hans"/>
        </w:rPr>
      </w:pPr>
      <w:r>
        <w:rPr>
          <w:rFonts w:hint="eastAsia" w:ascii="仿宋" w:hAnsi="仿宋" w:eastAsia="仿宋" w:cs="仿宋"/>
          <w:sz w:val="32"/>
          <w:szCs w:val="32"/>
          <w:lang w:eastAsia="zh-Hans"/>
        </w:rPr>
        <w:t>结合《关于加强和改进城市更新实施工作的暂行措施》等有关规定，建立信息通报机制，第四十九条中明确核发实施主体确认文件应抄送市场监督管理部门，并强调实施主体股权变更行为应当依法纳税。</w:t>
      </w:r>
    </w:p>
    <w:p>
      <w:pPr>
        <w:keepNext w:val="0"/>
        <w:keepLines w:val="0"/>
        <w:pageBreakBefore w:val="0"/>
        <w:widowControl w:val="0"/>
        <w:numPr>
          <w:ilvl w:val="0"/>
          <w:numId w:val="8"/>
        </w:numPr>
        <w:kinsoku/>
        <w:wordWrap/>
        <w:overflowPunct/>
        <w:topLinePunct w:val="0"/>
        <w:autoSpaceDE/>
        <w:autoSpaceDN/>
        <w:bidi w:val="0"/>
        <w:adjustRightInd/>
        <w:snapToGrid/>
        <w:spacing w:beforeLines="0" w:afterLines="0" w:line="560" w:lineRule="exact"/>
        <w:ind w:left="0" w:leftChars="0" w:firstLine="640" w:firstLineChars="200"/>
        <w:jc w:val="both"/>
        <w:textAlignment w:val="auto"/>
        <w:rPr>
          <w:rFonts w:hint="eastAsia" w:ascii="仿宋" w:hAnsi="仿宋" w:eastAsia="仿宋" w:cs="仿宋"/>
          <w:sz w:val="32"/>
          <w:szCs w:val="32"/>
          <w:lang w:eastAsia="zh-Hans"/>
        </w:rPr>
      </w:pPr>
      <w:r>
        <w:rPr>
          <w:rFonts w:hint="eastAsia" w:ascii="仿宋" w:hAnsi="仿宋" w:eastAsia="仿宋" w:cs="仿宋"/>
          <w:sz w:val="32"/>
          <w:szCs w:val="32"/>
          <w:lang w:eastAsia="zh-Hans"/>
        </w:rPr>
        <w:t>结合《更新条例》等有关规定，明确违法拆除行为认定及处理部门，规范城市更新拆除工作秩序。</w:t>
      </w:r>
    </w:p>
    <w:p>
      <w:pPr>
        <w:keepNext w:val="0"/>
        <w:keepLines w:val="0"/>
        <w:pageBreakBefore w:val="0"/>
        <w:widowControl w:val="0"/>
        <w:numPr>
          <w:ilvl w:val="0"/>
          <w:numId w:val="3"/>
        </w:numPr>
        <w:kinsoku/>
        <w:wordWrap/>
        <w:overflowPunct/>
        <w:topLinePunct w:val="0"/>
        <w:autoSpaceDE/>
        <w:autoSpaceDN/>
        <w:bidi w:val="0"/>
        <w:adjustRightInd/>
        <w:snapToGrid/>
        <w:spacing w:beforeLines="0" w:afterLines="0" w:line="560" w:lineRule="exact"/>
        <w:ind w:left="0" w:leftChars="0" w:firstLine="643" w:firstLineChars="200"/>
        <w:jc w:val="both"/>
        <w:textAlignment w:val="auto"/>
        <w:rPr>
          <w:rFonts w:hint="eastAsia" w:ascii="楷体_GB2312" w:hAnsi="楷体_GB2312" w:eastAsia="楷体_GB2312" w:cs="楷体_GB2312"/>
          <w:b/>
          <w:bCs/>
          <w:sz w:val="32"/>
          <w:szCs w:val="32"/>
          <w:lang w:val="en-US" w:eastAsia="zh-Hans"/>
        </w:rPr>
      </w:pPr>
      <w:r>
        <w:rPr>
          <w:rFonts w:hint="eastAsia" w:ascii="楷体_GB2312" w:hAnsi="楷体_GB2312" w:eastAsia="楷体_GB2312" w:cs="楷体_GB2312"/>
          <w:b/>
          <w:bCs/>
          <w:sz w:val="32"/>
          <w:szCs w:val="32"/>
          <w:lang w:val="en-US" w:eastAsia="zh-Hans"/>
        </w:rPr>
        <w:t>第九章“附则”</w:t>
      </w:r>
    </w:p>
    <w:p>
      <w:pPr>
        <w:keepNext w:val="0"/>
        <w:keepLines w:val="0"/>
        <w:pageBreakBefore w:val="0"/>
        <w:widowControl w:val="0"/>
        <w:numPr>
          <w:ilvl w:val="0"/>
          <w:numId w:val="9"/>
        </w:numPr>
        <w:kinsoku/>
        <w:wordWrap/>
        <w:overflowPunct/>
        <w:topLinePunct w:val="0"/>
        <w:autoSpaceDE/>
        <w:autoSpaceDN/>
        <w:bidi w:val="0"/>
        <w:adjustRightInd/>
        <w:snapToGrid/>
        <w:spacing w:beforeLines="0" w:afterLines="0" w:line="560" w:lineRule="exact"/>
        <w:ind w:left="0" w:leftChars="0" w:firstLine="640" w:firstLineChars="200"/>
        <w:jc w:val="both"/>
        <w:textAlignment w:val="auto"/>
        <w:rPr>
          <w:rFonts w:hint="eastAsia" w:ascii="仿宋" w:hAnsi="仿宋" w:eastAsia="仿宋" w:cs="仿宋"/>
          <w:b w:val="0"/>
          <w:bCs w:val="0"/>
          <w:sz w:val="32"/>
          <w:szCs w:val="32"/>
          <w:lang w:val="en-US" w:eastAsia="zh-Hans"/>
        </w:rPr>
      </w:pPr>
      <w:r>
        <w:rPr>
          <w:rFonts w:hint="eastAsia" w:ascii="仿宋" w:hAnsi="仿宋" w:eastAsia="仿宋" w:cs="仿宋"/>
          <w:b w:val="0"/>
          <w:bCs w:val="0"/>
          <w:sz w:val="32"/>
          <w:szCs w:val="32"/>
          <w:lang w:val="en-US" w:eastAsia="zh-Hans"/>
        </w:rPr>
        <w:t>为进一步落实物业权利人核实工作，提高城市更新审批效率，增加第五十一条，明确关于条例实施前已进行更新意愿公示的城市更新单元应进行物业权利人核实，但核实情况不影响计划申报审批工作。</w:t>
      </w:r>
    </w:p>
    <w:p>
      <w:pPr>
        <w:keepNext w:val="0"/>
        <w:keepLines w:val="0"/>
        <w:pageBreakBefore w:val="0"/>
        <w:widowControl w:val="0"/>
        <w:numPr>
          <w:ilvl w:val="0"/>
          <w:numId w:val="9"/>
        </w:numPr>
        <w:kinsoku/>
        <w:wordWrap/>
        <w:overflowPunct/>
        <w:topLinePunct w:val="0"/>
        <w:autoSpaceDE/>
        <w:autoSpaceDN/>
        <w:bidi w:val="0"/>
        <w:adjustRightInd/>
        <w:snapToGrid/>
        <w:spacing w:beforeLines="0" w:afterLines="0" w:line="560" w:lineRule="exact"/>
        <w:ind w:left="0" w:leftChars="0" w:firstLine="640" w:firstLineChars="200"/>
        <w:jc w:val="both"/>
        <w:textAlignment w:val="auto"/>
        <w:rPr>
          <w:rFonts w:hint="eastAsia" w:ascii="仿宋" w:hAnsi="仿宋" w:eastAsia="仿宋" w:cs="仿宋"/>
          <w:b w:val="0"/>
          <w:bCs w:val="0"/>
          <w:sz w:val="32"/>
          <w:szCs w:val="32"/>
          <w:lang w:val="en-US" w:eastAsia="zh-Hans"/>
        </w:rPr>
      </w:pPr>
      <w:r>
        <w:rPr>
          <w:rFonts w:hint="eastAsia" w:ascii="仿宋" w:hAnsi="仿宋" w:eastAsia="仿宋" w:cs="仿宋"/>
          <w:b w:val="0"/>
          <w:bCs w:val="0"/>
          <w:sz w:val="32"/>
          <w:szCs w:val="32"/>
          <w:lang w:val="en-US" w:eastAsia="zh-Hans"/>
        </w:rPr>
        <w:t>增加第五十四条，明确公示费用的承担主体。</w:t>
      </w:r>
    </w:p>
    <w:p>
      <w:pPr>
        <w:keepNext w:val="0"/>
        <w:keepLines w:val="0"/>
        <w:pageBreakBefore w:val="0"/>
        <w:widowControl w:val="0"/>
        <w:numPr>
          <w:ilvl w:val="0"/>
          <w:numId w:val="9"/>
        </w:numPr>
        <w:kinsoku/>
        <w:wordWrap/>
        <w:overflowPunct/>
        <w:topLinePunct w:val="0"/>
        <w:autoSpaceDE/>
        <w:autoSpaceDN/>
        <w:bidi w:val="0"/>
        <w:adjustRightInd/>
        <w:snapToGrid/>
        <w:spacing w:beforeLines="0" w:afterLines="0" w:line="560" w:lineRule="exact"/>
        <w:ind w:left="0" w:leftChars="0" w:firstLine="640" w:firstLineChars="200"/>
        <w:jc w:val="both"/>
        <w:textAlignment w:val="auto"/>
        <w:rPr>
          <w:rFonts w:hint="eastAsia" w:ascii="仿宋" w:hAnsi="仿宋" w:eastAsia="仿宋" w:cs="仿宋"/>
          <w:b w:val="0"/>
          <w:bCs w:val="0"/>
          <w:sz w:val="32"/>
          <w:szCs w:val="32"/>
          <w:lang w:val="en-US" w:eastAsia="zh-Hans"/>
        </w:rPr>
      </w:pPr>
      <w:r>
        <w:rPr>
          <w:rFonts w:hint="eastAsia" w:ascii="仿宋" w:hAnsi="仿宋" w:eastAsia="仿宋" w:cs="仿宋"/>
          <w:b w:val="0"/>
          <w:bCs w:val="0"/>
          <w:sz w:val="32"/>
          <w:szCs w:val="32"/>
          <w:lang w:val="en-US" w:eastAsia="zh-Hans"/>
        </w:rPr>
        <w:t>第五十七条中新增实施办法有效期的规定。</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专此说明。</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方正小标宋简体">
    <w:altName w:val="仿宋_GB2312"/>
    <w:panose1 w:val="03000509000000000000"/>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楷体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E677B6B"/>
    <w:multiLevelType w:val="singleLevel"/>
    <w:tmpl w:val="BE677B6B"/>
    <w:lvl w:ilvl="0" w:tentative="0">
      <w:start w:val="1"/>
      <w:numFmt w:val="chineseCounting"/>
      <w:suff w:val="nothing"/>
      <w:lvlText w:val="%1、"/>
      <w:lvlJc w:val="left"/>
      <w:pPr>
        <w:ind w:left="0" w:firstLine="420"/>
      </w:pPr>
      <w:rPr>
        <w:rFonts w:hint="eastAsia"/>
      </w:rPr>
    </w:lvl>
  </w:abstractNum>
  <w:abstractNum w:abstractNumId="1">
    <w:nsid w:val="FFEC27F0"/>
    <w:multiLevelType w:val="singleLevel"/>
    <w:tmpl w:val="FFEC27F0"/>
    <w:lvl w:ilvl="0" w:tentative="0">
      <w:start w:val="1"/>
      <w:numFmt w:val="chineseCounting"/>
      <w:suff w:val="nothing"/>
      <w:lvlText w:val="（%1）"/>
      <w:lvlJc w:val="left"/>
      <w:pPr>
        <w:ind w:left="640" w:leftChars="0" w:firstLine="0" w:firstLineChars="0"/>
      </w:pPr>
      <w:rPr>
        <w:rFonts w:hint="eastAsia"/>
      </w:rPr>
    </w:lvl>
  </w:abstractNum>
  <w:abstractNum w:abstractNumId="2">
    <w:nsid w:val="17CB6152"/>
    <w:multiLevelType w:val="singleLevel"/>
    <w:tmpl w:val="17CB6152"/>
    <w:lvl w:ilvl="0" w:tentative="0">
      <w:start w:val="1"/>
      <w:numFmt w:val="chineseCounting"/>
      <w:suff w:val="nothing"/>
      <w:lvlText w:val="（%1）"/>
      <w:lvlJc w:val="left"/>
      <w:pPr>
        <w:ind w:left="0" w:firstLine="420"/>
      </w:pPr>
      <w:rPr>
        <w:rFonts w:hint="eastAsia"/>
      </w:rPr>
    </w:lvl>
  </w:abstractNum>
  <w:abstractNum w:abstractNumId="3">
    <w:nsid w:val="624192EA"/>
    <w:multiLevelType w:val="singleLevel"/>
    <w:tmpl w:val="624192EA"/>
    <w:lvl w:ilvl="0" w:tentative="0">
      <w:start w:val="1"/>
      <w:numFmt w:val="decimal"/>
      <w:suff w:val="nothing"/>
      <w:lvlText w:val="%1."/>
      <w:lvlJc w:val="left"/>
    </w:lvl>
  </w:abstractNum>
  <w:abstractNum w:abstractNumId="4">
    <w:nsid w:val="6241932E"/>
    <w:multiLevelType w:val="singleLevel"/>
    <w:tmpl w:val="6241932E"/>
    <w:lvl w:ilvl="0" w:tentative="0">
      <w:start w:val="1"/>
      <w:numFmt w:val="decimal"/>
      <w:suff w:val="nothing"/>
      <w:lvlText w:val="%1."/>
      <w:lvlJc w:val="left"/>
    </w:lvl>
  </w:abstractNum>
  <w:abstractNum w:abstractNumId="5">
    <w:nsid w:val="62419361"/>
    <w:multiLevelType w:val="singleLevel"/>
    <w:tmpl w:val="62419361"/>
    <w:lvl w:ilvl="0" w:tentative="0">
      <w:start w:val="1"/>
      <w:numFmt w:val="decimal"/>
      <w:suff w:val="nothing"/>
      <w:lvlText w:val="%1."/>
      <w:lvlJc w:val="left"/>
    </w:lvl>
  </w:abstractNum>
  <w:abstractNum w:abstractNumId="6">
    <w:nsid w:val="624193B7"/>
    <w:multiLevelType w:val="singleLevel"/>
    <w:tmpl w:val="624193B7"/>
    <w:lvl w:ilvl="0" w:tentative="0">
      <w:start w:val="1"/>
      <w:numFmt w:val="decimal"/>
      <w:suff w:val="nothing"/>
      <w:lvlText w:val="%1."/>
      <w:lvlJc w:val="left"/>
    </w:lvl>
  </w:abstractNum>
  <w:abstractNum w:abstractNumId="7">
    <w:nsid w:val="624193E1"/>
    <w:multiLevelType w:val="singleLevel"/>
    <w:tmpl w:val="624193E1"/>
    <w:lvl w:ilvl="0" w:tentative="0">
      <w:start w:val="1"/>
      <w:numFmt w:val="decimal"/>
      <w:suff w:val="nothing"/>
      <w:lvlText w:val="%1."/>
      <w:lvlJc w:val="left"/>
    </w:lvl>
  </w:abstractNum>
  <w:abstractNum w:abstractNumId="8">
    <w:nsid w:val="6241945F"/>
    <w:multiLevelType w:val="singleLevel"/>
    <w:tmpl w:val="6241945F"/>
    <w:lvl w:ilvl="0" w:tentative="0">
      <w:start w:val="1"/>
      <w:numFmt w:val="decimal"/>
      <w:suff w:val="nothing"/>
      <w:lvlText w:val="%1."/>
      <w:lvlJc w:val="left"/>
    </w:lvl>
  </w:abstractNum>
  <w:num w:numId="1">
    <w:abstractNumId w:val="0"/>
  </w:num>
  <w:num w:numId="2">
    <w:abstractNumId w:val="2"/>
  </w:num>
  <w:num w:numId="3">
    <w:abstractNumId w:val="1"/>
  </w:num>
  <w:num w:numId="4">
    <w:abstractNumId w:val="3"/>
  </w:num>
  <w:num w:numId="5">
    <w:abstractNumId w:val="4"/>
  </w:num>
  <w:num w:numId="6">
    <w:abstractNumId w:val="5"/>
  </w:num>
  <w:num w:numId="7">
    <w:abstractNumId w:val="6"/>
  </w:num>
  <w:num w:numId="8">
    <w:abstractNumId w:val="7"/>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E1ZTI0NTI1NmM3NzYyNDUzYzM3YWU2ZmYzNjlhYmYifQ=="/>
  </w:docVars>
  <w:rsids>
    <w:rsidRoot w:val="3B414CA0"/>
    <w:rsid w:val="0075566C"/>
    <w:rsid w:val="00C27D4A"/>
    <w:rsid w:val="01F44363"/>
    <w:rsid w:val="051D040E"/>
    <w:rsid w:val="093B0543"/>
    <w:rsid w:val="0978246F"/>
    <w:rsid w:val="09A0372D"/>
    <w:rsid w:val="0B17102F"/>
    <w:rsid w:val="0B7D4032"/>
    <w:rsid w:val="0C205AB6"/>
    <w:rsid w:val="0D0564F8"/>
    <w:rsid w:val="0D4541BA"/>
    <w:rsid w:val="0FF7347B"/>
    <w:rsid w:val="108C7453"/>
    <w:rsid w:val="127B5386"/>
    <w:rsid w:val="12D31922"/>
    <w:rsid w:val="13112B2C"/>
    <w:rsid w:val="13FE09B8"/>
    <w:rsid w:val="14D278C1"/>
    <w:rsid w:val="15217E2B"/>
    <w:rsid w:val="179D72CD"/>
    <w:rsid w:val="17A66003"/>
    <w:rsid w:val="17FFED48"/>
    <w:rsid w:val="181648B6"/>
    <w:rsid w:val="18C21685"/>
    <w:rsid w:val="1AAC3728"/>
    <w:rsid w:val="1B0D48EF"/>
    <w:rsid w:val="1B896BB9"/>
    <w:rsid w:val="1BC84397"/>
    <w:rsid w:val="1BD0431B"/>
    <w:rsid w:val="1D426EDB"/>
    <w:rsid w:val="1E401BBC"/>
    <w:rsid w:val="1E4E2DF7"/>
    <w:rsid w:val="1EC01C1E"/>
    <w:rsid w:val="1F0052D3"/>
    <w:rsid w:val="1F6F5BDD"/>
    <w:rsid w:val="1F7DC114"/>
    <w:rsid w:val="1FCC73C0"/>
    <w:rsid w:val="212B0F46"/>
    <w:rsid w:val="213F20D7"/>
    <w:rsid w:val="215169C3"/>
    <w:rsid w:val="22687C14"/>
    <w:rsid w:val="228B4ABD"/>
    <w:rsid w:val="23E41A51"/>
    <w:rsid w:val="243339E3"/>
    <w:rsid w:val="25B15136"/>
    <w:rsid w:val="25BD122E"/>
    <w:rsid w:val="26046F0A"/>
    <w:rsid w:val="26970CF9"/>
    <w:rsid w:val="277C2EFB"/>
    <w:rsid w:val="28725302"/>
    <w:rsid w:val="288D3B1C"/>
    <w:rsid w:val="29575C92"/>
    <w:rsid w:val="2A6138CC"/>
    <w:rsid w:val="2B001E91"/>
    <w:rsid w:val="2B8C1F3C"/>
    <w:rsid w:val="2CEF6622"/>
    <w:rsid w:val="2CF77B53"/>
    <w:rsid w:val="2E3A7D5C"/>
    <w:rsid w:val="2E42353B"/>
    <w:rsid w:val="2E4C752D"/>
    <w:rsid w:val="2EBA39CB"/>
    <w:rsid w:val="304D2299"/>
    <w:rsid w:val="315C4086"/>
    <w:rsid w:val="331E405E"/>
    <w:rsid w:val="34DA698F"/>
    <w:rsid w:val="35656062"/>
    <w:rsid w:val="35F644B6"/>
    <w:rsid w:val="3771517C"/>
    <w:rsid w:val="38B13760"/>
    <w:rsid w:val="38CA31C5"/>
    <w:rsid w:val="3A523A3E"/>
    <w:rsid w:val="3B414CA0"/>
    <w:rsid w:val="3B5C4779"/>
    <w:rsid w:val="3B7EC6E6"/>
    <w:rsid w:val="3B7F8BF7"/>
    <w:rsid w:val="3C546CFC"/>
    <w:rsid w:val="3CAC370E"/>
    <w:rsid w:val="3D0C395D"/>
    <w:rsid w:val="3D9B9D29"/>
    <w:rsid w:val="3DDE638A"/>
    <w:rsid w:val="3DE71A95"/>
    <w:rsid w:val="3E9B5CD3"/>
    <w:rsid w:val="3F704EE3"/>
    <w:rsid w:val="3FBE0E98"/>
    <w:rsid w:val="3FDF4625"/>
    <w:rsid w:val="3FF52B17"/>
    <w:rsid w:val="3FFF8553"/>
    <w:rsid w:val="41335CCF"/>
    <w:rsid w:val="41B31281"/>
    <w:rsid w:val="42742AA2"/>
    <w:rsid w:val="428737A7"/>
    <w:rsid w:val="429B1DE9"/>
    <w:rsid w:val="42AA1862"/>
    <w:rsid w:val="43A75BD7"/>
    <w:rsid w:val="445A07FA"/>
    <w:rsid w:val="446B0332"/>
    <w:rsid w:val="45304ECC"/>
    <w:rsid w:val="46CFCA38"/>
    <w:rsid w:val="479A5A19"/>
    <w:rsid w:val="47F12A89"/>
    <w:rsid w:val="48284749"/>
    <w:rsid w:val="485B479F"/>
    <w:rsid w:val="48CC3D7B"/>
    <w:rsid w:val="48ED722F"/>
    <w:rsid w:val="49AD33B4"/>
    <w:rsid w:val="49E92E02"/>
    <w:rsid w:val="4A150B88"/>
    <w:rsid w:val="4B3A4B3E"/>
    <w:rsid w:val="4BDE2B08"/>
    <w:rsid w:val="4C2925C8"/>
    <w:rsid w:val="4EDB38DB"/>
    <w:rsid w:val="4EDDAFF6"/>
    <w:rsid w:val="4FB7E4FF"/>
    <w:rsid w:val="4FC88CCE"/>
    <w:rsid w:val="50932F50"/>
    <w:rsid w:val="51526A29"/>
    <w:rsid w:val="515E30D6"/>
    <w:rsid w:val="51857CF3"/>
    <w:rsid w:val="52FEF15E"/>
    <w:rsid w:val="5392678A"/>
    <w:rsid w:val="54B3777F"/>
    <w:rsid w:val="5577315B"/>
    <w:rsid w:val="57727D5C"/>
    <w:rsid w:val="577D42FE"/>
    <w:rsid w:val="57CDACFD"/>
    <w:rsid w:val="58435F90"/>
    <w:rsid w:val="585B5141"/>
    <w:rsid w:val="58D519F9"/>
    <w:rsid w:val="5AF9EF1D"/>
    <w:rsid w:val="5BBF1AF7"/>
    <w:rsid w:val="5BF7345E"/>
    <w:rsid w:val="5BFFC0B2"/>
    <w:rsid w:val="5CA6492C"/>
    <w:rsid w:val="5DF22413"/>
    <w:rsid w:val="5E5A454F"/>
    <w:rsid w:val="5E9E4A02"/>
    <w:rsid w:val="5EA61534"/>
    <w:rsid w:val="5EBFFB14"/>
    <w:rsid w:val="5FB774E0"/>
    <w:rsid w:val="5FD7C8E9"/>
    <w:rsid w:val="5FDB2BEB"/>
    <w:rsid w:val="5FF38D20"/>
    <w:rsid w:val="60AB66A7"/>
    <w:rsid w:val="61483BBB"/>
    <w:rsid w:val="614F5FD6"/>
    <w:rsid w:val="617FD852"/>
    <w:rsid w:val="62AE4BDB"/>
    <w:rsid w:val="630E2494"/>
    <w:rsid w:val="665F389F"/>
    <w:rsid w:val="66DA7D19"/>
    <w:rsid w:val="66F55FB7"/>
    <w:rsid w:val="671A5235"/>
    <w:rsid w:val="67BFEB8C"/>
    <w:rsid w:val="67DAB94F"/>
    <w:rsid w:val="67F4007D"/>
    <w:rsid w:val="68C207CD"/>
    <w:rsid w:val="6B51765E"/>
    <w:rsid w:val="6B7A1295"/>
    <w:rsid w:val="6E627FD5"/>
    <w:rsid w:val="6EEF0353"/>
    <w:rsid w:val="6F6C212B"/>
    <w:rsid w:val="6FBDD422"/>
    <w:rsid w:val="6FD55163"/>
    <w:rsid w:val="6FFF41F5"/>
    <w:rsid w:val="70633312"/>
    <w:rsid w:val="71072ACA"/>
    <w:rsid w:val="719F1162"/>
    <w:rsid w:val="7452376B"/>
    <w:rsid w:val="74DC0A0D"/>
    <w:rsid w:val="74F74911"/>
    <w:rsid w:val="757E2BDE"/>
    <w:rsid w:val="75F26392"/>
    <w:rsid w:val="75FF58AA"/>
    <w:rsid w:val="76FD75AF"/>
    <w:rsid w:val="782353CB"/>
    <w:rsid w:val="78377409"/>
    <w:rsid w:val="78DFF524"/>
    <w:rsid w:val="79EB396D"/>
    <w:rsid w:val="79FDEC6B"/>
    <w:rsid w:val="7AB916E9"/>
    <w:rsid w:val="7AEF1D81"/>
    <w:rsid w:val="7B3F5EEE"/>
    <w:rsid w:val="7BBF1665"/>
    <w:rsid w:val="7BDF080E"/>
    <w:rsid w:val="7BEBF447"/>
    <w:rsid w:val="7BEF56B4"/>
    <w:rsid w:val="7BFBAEC6"/>
    <w:rsid w:val="7BFBF045"/>
    <w:rsid w:val="7C3FAB0D"/>
    <w:rsid w:val="7CBFA54D"/>
    <w:rsid w:val="7DE6C127"/>
    <w:rsid w:val="7DEF105F"/>
    <w:rsid w:val="7DF3C4D0"/>
    <w:rsid w:val="7DF68DD3"/>
    <w:rsid w:val="7E3964D6"/>
    <w:rsid w:val="7E3C79E8"/>
    <w:rsid w:val="7E8B2594"/>
    <w:rsid w:val="7E96234C"/>
    <w:rsid w:val="7E9EBF88"/>
    <w:rsid w:val="7EBEF0FB"/>
    <w:rsid w:val="7EDF2A0C"/>
    <w:rsid w:val="7EF7C8B7"/>
    <w:rsid w:val="7EFDE959"/>
    <w:rsid w:val="7EFF37D0"/>
    <w:rsid w:val="7EFF96FA"/>
    <w:rsid w:val="7F187139"/>
    <w:rsid w:val="7F1B435C"/>
    <w:rsid w:val="7F3A3645"/>
    <w:rsid w:val="7F5C2474"/>
    <w:rsid w:val="7F696EC4"/>
    <w:rsid w:val="7F71A84F"/>
    <w:rsid w:val="7F7D5277"/>
    <w:rsid w:val="7FAC6887"/>
    <w:rsid w:val="7FBD6C5D"/>
    <w:rsid w:val="7FBF223F"/>
    <w:rsid w:val="7FD849D7"/>
    <w:rsid w:val="7FF3C3EE"/>
    <w:rsid w:val="7FFB9218"/>
    <w:rsid w:val="7FFBC7BF"/>
    <w:rsid w:val="7FFF7D02"/>
    <w:rsid w:val="826F45E8"/>
    <w:rsid w:val="8BDFCE10"/>
    <w:rsid w:val="94FF7769"/>
    <w:rsid w:val="9B59A19E"/>
    <w:rsid w:val="9E7D7F12"/>
    <w:rsid w:val="9F1FA7A6"/>
    <w:rsid w:val="9FBEE06B"/>
    <w:rsid w:val="9FFF61EF"/>
    <w:rsid w:val="ABA0D023"/>
    <w:rsid w:val="AFFE57D6"/>
    <w:rsid w:val="B1FF11F8"/>
    <w:rsid w:val="BBDDE4F1"/>
    <w:rsid w:val="BBFF8E80"/>
    <w:rsid w:val="BE3F9718"/>
    <w:rsid w:val="BF4CA31C"/>
    <w:rsid w:val="BF5DAFE8"/>
    <w:rsid w:val="BF7E1DF8"/>
    <w:rsid w:val="BFCB061A"/>
    <w:rsid w:val="BFFED18D"/>
    <w:rsid w:val="CDEF4E29"/>
    <w:rsid w:val="D3FCD695"/>
    <w:rsid w:val="D6D3F129"/>
    <w:rsid w:val="D7AD2FA8"/>
    <w:rsid w:val="D7DDF745"/>
    <w:rsid w:val="DAE73A71"/>
    <w:rsid w:val="DB7E89D0"/>
    <w:rsid w:val="DCDEB9EA"/>
    <w:rsid w:val="DD509390"/>
    <w:rsid w:val="DDC9E282"/>
    <w:rsid w:val="DDFB9BE5"/>
    <w:rsid w:val="DDFDDA4B"/>
    <w:rsid w:val="DF2F6669"/>
    <w:rsid w:val="DFBBDD1D"/>
    <w:rsid w:val="DFBFF2D1"/>
    <w:rsid w:val="DFD990E9"/>
    <w:rsid w:val="DFF76777"/>
    <w:rsid w:val="DFFB7D17"/>
    <w:rsid w:val="DFFDFC76"/>
    <w:rsid w:val="E25FB960"/>
    <w:rsid w:val="E34FF598"/>
    <w:rsid w:val="E9FEC7BE"/>
    <w:rsid w:val="EB7F3D93"/>
    <w:rsid w:val="ECEFD4E4"/>
    <w:rsid w:val="ED1AC341"/>
    <w:rsid w:val="EDBFC5BF"/>
    <w:rsid w:val="EE5F5230"/>
    <w:rsid w:val="EEF16FE0"/>
    <w:rsid w:val="EF4FE326"/>
    <w:rsid w:val="EF9F830C"/>
    <w:rsid w:val="EFAF9621"/>
    <w:rsid w:val="EFBF28AD"/>
    <w:rsid w:val="EFCBFBA8"/>
    <w:rsid w:val="EFEB86DA"/>
    <w:rsid w:val="EFEF7586"/>
    <w:rsid w:val="F295A03F"/>
    <w:rsid w:val="F2BF564B"/>
    <w:rsid w:val="F2FB05AD"/>
    <w:rsid w:val="F3880E9E"/>
    <w:rsid w:val="F39D18EA"/>
    <w:rsid w:val="F3F54BCE"/>
    <w:rsid w:val="F6AF1091"/>
    <w:rsid w:val="F6EA2782"/>
    <w:rsid w:val="F7AC1547"/>
    <w:rsid w:val="F7EF6583"/>
    <w:rsid w:val="F996DD87"/>
    <w:rsid w:val="F9F0F800"/>
    <w:rsid w:val="F9FFC1AA"/>
    <w:rsid w:val="FAAE90BA"/>
    <w:rsid w:val="FBBCDE93"/>
    <w:rsid w:val="FBC7E400"/>
    <w:rsid w:val="FBDEBB0A"/>
    <w:rsid w:val="FBFB0946"/>
    <w:rsid w:val="FCBFEF94"/>
    <w:rsid w:val="FCE77CD6"/>
    <w:rsid w:val="FD6BBDF0"/>
    <w:rsid w:val="FDF7EBB9"/>
    <w:rsid w:val="FDFFCFC4"/>
    <w:rsid w:val="FECF6CDE"/>
    <w:rsid w:val="FEDF73FC"/>
    <w:rsid w:val="FEF465C3"/>
    <w:rsid w:val="FF0B9F5A"/>
    <w:rsid w:val="FF3FE683"/>
    <w:rsid w:val="FF76CA8F"/>
    <w:rsid w:val="FF7B46DB"/>
    <w:rsid w:val="FF7C1499"/>
    <w:rsid w:val="FF9FB58B"/>
    <w:rsid w:val="FFA3E9D2"/>
    <w:rsid w:val="FFAFD539"/>
    <w:rsid w:val="FFCB0041"/>
    <w:rsid w:val="FFEB0845"/>
    <w:rsid w:val="FFEB9A89"/>
    <w:rsid w:val="FFFA6105"/>
    <w:rsid w:val="FFFB5468"/>
    <w:rsid w:val="FFFFF9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2"/>
    <w:basedOn w:val="1"/>
    <w:next w:val="1"/>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4">
    <w:name w:val="heading 3"/>
    <w:basedOn w:val="1"/>
    <w:next w:val="1"/>
    <w:qFormat/>
    <w:uiPriority w:val="9"/>
    <w:pPr>
      <w:keepNext/>
      <w:keepLines/>
      <w:spacing w:before="260" w:after="260" w:line="416" w:lineRule="auto"/>
      <w:outlineLvl w:val="2"/>
    </w:pPr>
    <w:rPr>
      <w:b/>
      <w:bCs/>
      <w:sz w:val="32"/>
      <w:szCs w:val="32"/>
    </w:rPr>
  </w:style>
  <w:style w:type="character" w:default="1" w:styleId="11">
    <w:name w:val="Default Paragraph Font"/>
    <w:semiHidden/>
    <w:qFormat/>
    <w:uiPriority w:val="0"/>
  </w:style>
  <w:style w:type="table" w:default="1" w:styleId="10">
    <w:name w:val="Normal Table"/>
    <w:semiHidden/>
    <w:qFormat/>
    <w:uiPriority w:val="0"/>
    <w:tblPr>
      <w:tblLayout w:type="fixed"/>
      <w:tblCellMar>
        <w:top w:w="0" w:type="dxa"/>
        <w:left w:w="108" w:type="dxa"/>
        <w:bottom w:w="0" w:type="dxa"/>
        <w:right w:w="108" w:type="dxa"/>
      </w:tblCellMar>
    </w:tblPr>
  </w:style>
  <w:style w:type="paragraph" w:styleId="5">
    <w:name w:val="annotation text"/>
    <w:basedOn w:val="1"/>
    <w:unhideWhenUsed/>
    <w:qFormat/>
    <w:uiPriority w:val="99"/>
    <w:pPr>
      <w:jc w:val="left"/>
    </w:pPr>
  </w:style>
  <w:style w:type="paragraph" w:styleId="6">
    <w:name w:val="Body Text"/>
    <w:basedOn w:val="1"/>
    <w:qFormat/>
    <w:uiPriority w:val="1"/>
    <w:rPr>
      <w:rFonts w:ascii="宋体" w:hAnsi="宋体" w:eastAsia="宋体" w:cs="宋体"/>
      <w:sz w:val="32"/>
      <w:szCs w:val="32"/>
      <w:lang w:val="zh-CN" w:eastAsia="zh-CN" w:bidi="zh-CN"/>
    </w:rPr>
  </w:style>
  <w:style w:type="paragraph" w:styleId="7">
    <w:name w:val="footer"/>
    <w:basedOn w:val="1"/>
    <w:unhideWhenUsed/>
    <w:qFormat/>
    <w:uiPriority w:val="99"/>
    <w:pPr>
      <w:tabs>
        <w:tab w:val="center" w:pos="4153"/>
        <w:tab w:val="right" w:pos="8306"/>
      </w:tabs>
      <w:snapToGrid w:val="0"/>
      <w:jc w:val="left"/>
    </w:pPr>
    <w:rPr>
      <w:sz w:val="18"/>
      <w:szCs w:val="18"/>
    </w:rPr>
  </w:style>
  <w:style w:type="paragraph" w:styleId="8">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2039</Words>
  <Characters>2049</Characters>
  <Lines>0</Lines>
  <Paragraphs>0</Paragraphs>
  <TotalTime>5</TotalTime>
  <ScaleCrop>false</ScaleCrop>
  <LinksUpToDate>false</LinksUpToDate>
  <CharactersWithSpaces>2049</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2021-02-28T17:26:00Z</dcterms:created>
  <dc:creator>BCLF9</dc:creator>
  <cp:lastModifiedBy>G</cp:lastModifiedBy>
  <dcterms:modified xsi:type="dcterms:W3CDTF">2022-08-11T01:54:25Z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y fmtid="{D5CDD505-2E9C-101B-9397-08002B2CF9AE}" pid="3" name="ICV">
    <vt:lpwstr>1F813A87D40241BDB187CE02A7B89161</vt:lpwstr>
  </property>
</Properties>
</file>