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12B0" w:rsidRDefault="006C3825">
      <w:pPr>
        <w:spacing w:line="560" w:lineRule="exact"/>
        <w:jc w:val="center"/>
        <w:rPr>
          <w:rFonts w:asciiTheme="majorEastAsia" w:eastAsiaTheme="majorEastAsia" w:hAnsiTheme="majorEastAsia" w:cs="Times New Roman"/>
          <w:b/>
          <w:bCs/>
          <w:sz w:val="44"/>
          <w:szCs w:val="44"/>
        </w:rPr>
      </w:pPr>
      <w:r>
        <w:rPr>
          <w:rFonts w:asciiTheme="majorEastAsia" w:eastAsiaTheme="majorEastAsia" w:hAnsiTheme="majorEastAsia" w:cs="Times New Roman" w:hint="eastAsia"/>
          <w:b/>
          <w:bCs/>
          <w:sz w:val="44"/>
          <w:szCs w:val="44"/>
        </w:rPr>
        <w:t>关于进一步加大居住用地供应的若干措施</w:t>
      </w:r>
    </w:p>
    <w:p w:rsidR="000312B0" w:rsidRDefault="006C3825">
      <w:pPr>
        <w:spacing w:line="560" w:lineRule="exact"/>
        <w:jc w:val="center"/>
        <w:rPr>
          <w:rFonts w:ascii="仿宋_GB2312" w:eastAsia="仿宋_GB2312" w:hAnsi="仿宋"/>
          <w:bCs/>
          <w:sz w:val="32"/>
          <w:szCs w:val="32"/>
        </w:rPr>
      </w:pPr>
      <w:r>
        <w:rPr>
          <w:rFonts w:ascii="楷体_GB2312" w:eastAsia="楷体_GB2312" w:hAnsi="黑体" w:cs="Times New Roman" w:hint="eastAsia"/>
          <w:b/>
          <w:bCs/>
          <w:sz w:val="32"/>
          <w:szCs w:val="32"/>
        </w:rPr>
        <w:t>（征求意见稿）</w:t>
      </w:r>
    </w:p>
    <w:p w:rsidR="000312B0" w:rsidRDefault="000312B0">
      <w:pPr>
        <w:spacing w:line="560" w:lineRule="exact"/>
        <w:rPr>
          <w:rFonts w:ascii="仿宋_GB2312" w:eastAsia="仿宋_GB2312" w:hAnsi="仿宋"/>
          <w:bCs/>
          <w:sz w:val="32"/>
          <w:szCs w:val="32"/>
        </w:rPr>
      </w:pPr>
    </w:p>
    <w:p w:rsidR="000312B0" w:rsidRDefault="006C3825">
      <w:pPr>
        <w:spacing w:line="560" w:lineRule="exact"/>
        <w:ind w:firstLineChars="200" w:firstLine="640"/>
        <w:rPr>
          <w:rFonts w:ascii="仿宋_GB2312" w:eastAsia="仿宋_GB2312" w:hAnsi="仿宋"/>
          <w:bCs/>
          <w:sz w:val="32"/>
          <w:szCs w:val="32"/>
        </w:rPr>
      </w:pPr>
      <w:r>
        <w:rPr>
          <w:rFonts w:ascii="仿宋_GB2312" w:eastAsia="仿宋_GB2312" w:hAnsi="仿宋" w:hint="eastAsia"/>
          <w:bCs/>
          <w:sz w:val="32"/>
          <w:szCs w:val="32"/>
        </w:rPr>
        <w:t>住房问题关系民生福祉。为贯彻党中央、国务院“房住不炒、住有宜居”的精神要求，落实市委市政府深化住房制度改革加快建立多主体供给多渠道保障租购并举的住房供应与保障体系的决策部署，进一步深化空间供给侧结构性改革，</w:t>
      </w:r>
      <w:r>
        <w:rPr>
          <w:rFonts w:ascii="仿宋_GB2312" w:eastAsia="仿宋_GB2312" w:hAnsi="仿宋"/>
          <w:bCs/>
          <w:sz w:val="32"/>
          <w:szCs w:val="32"/>
        </w:rPr>
        <w:t>建立住房和土地联动机制，</w:t>
      </w:r>
      <w:r>
        <w:rPr>
          <w:rFonts w:ascii="仿宋_GB2312" w:eastAsia="仿宋_GB2312" w:hAnsi="仿宋" w:hint="eastAsia"/>
          <w:bCs/>
          <w:sz w:val="32"/>
          <w:szCs w:val="32"/>
        </w:rPr>
        <w:t>优化调整用地结构布局，加大居住用地供给，</w:t>
      </w:r>
      <w:r>
        <w:rPr>
          <w:rFonts w:ascii="仿宋_GB2312" w:eastAsia="仿宋_GB2312" w:hAnsi="仿宋"/>
          <w:bCs/>
          <w:sz w:val="32"/>
          <w:szCs w:val="32"/>
        </w:rPr>
        <w:t>着力解决好大城市住房突出问题</w:t>
      </w:r>
      <w:r>
        <w:rPr>
          <w:rFonts w:ascii="仿宋_GB2312" w:eastAsia="仿宋_GB2312" w:hAnsi="仿宋" w:hint="eastAsia"/>
          <w:bCs/>
          <w:sz w:val="32"/>
          <w:szCs w:val="32"/>
        </w:rPr>
        <w:t>，持续改善人居环境品质，加快打造民生幸福标杆城市，</w:t>
      </w:r>
      <w:r>
        <w:rPr>
          <w:rFonts w:ascii="仿宋_GB2312" w:eastAsia="仿宋_GB2312" w:hAnsi="仿宋" w:hint="eastAsia"/>
          <w:sz w:val="32"/>
          <w:szCs w:val="32"/>
        </w:rPr>
        <w:t>根据相关法律、法规及规章，结合我市实际，制定以下措施。</w:t>
      </w:r>
    </w:p>
    <w:p w:rsidR="000312B0" w:rsidRDefault="006C3825">
      <w:pPr>
        <w:spacing w:line="56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sz w:val="32"/>
          <w:szCs w:val="32"/>
        </w:rPr>
        <w:t>一、明确居住空间保障目标。</w:t>
      </w:r>
      <w:r>
        <w:rPr>
          <w:rFonts w:ascii="仿宋_GB2312" w:eastAsia="仿宋_GB2312" w:hAnsi="仿宋_GB2312" w:cs="仿宋_GB2312" w:hint="eastAsia"/>
          <w:sz w:val="32"/>
          <w:szCs w:val="32"/>
        </w:rPr>
        <w:t>在国土空间总体规划中合理安排生产、生活、生态空间，在保障总体用地结构均衡的前提下，逐步提高居住和公共设施用地规模和比例，确保至</w:t>
      </w:r>
      <w:r>
        <w:rPr>
          <w:rFonts w:ascii="仿宋_GB2312" w:eastAsia="仿宋_GB2312" w:hAnsi="仿宋_GB2312" w:cs="仿宋_GB2312" w:hint="eastAsia"/>
          <w:sz w:val="32"/>
          <w:szCs w:val="32"/>
        </w:rPr>
        <w:t>2035</w:t>
      </w:r>
      <w:r>
        <w:rPr>
          <w:rFonts w:ascii="仿宋_GB2312" w:eastAsia="仿宋_GB2312" w:hAnsi="仿宋_GB2312" w:cs="仿宋_GB2312" w:hint="eastAsia"/>
          <w:sz w:val="32"/>
          <w:szCs w:val="32"/>
        </w:rPr>
        <w:t>年全市常住人口人均住房面积达到</w:t>
      </w:r>
      <w:r>
        <w:rPr>
          <w:rFonts w:ascii="仿宋_GB2312" w:eastAsia="仿宋_GB2312" w:hAnsi="仿宋_GB2312" w:cs="仿宋_GB2312" w:hint="eastAsia"/>
          <w:sz w:val="32"/>
          <w:szCs w:val="32"/>
        </w:rPr>
        <w:t>40</w:t>
      </w:r>
      <w:r>
        <w:rPr>
          <w:rFonts w:ascii="仿宋_GB2312" w:eastAsia="仿宋_GB2312" w:hAnsi="仿宋_GB2312" w:cs="仿宋_GB2312" w:hint="eastAsia"/>
          <w:sz w:val="32"/>
          <w:szCs w:val="32"/>
        </w:rPr>
        <w:t>平方米以上，年度居住用地供应量原则上不低于建设用地供应总量的</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w:t>
      </w:r>
    </w:p>
    <w:p w:rsidR="000312B0" w:rsidRDefault="006C3825">
      <w:pPr>
        <w:spacing w:line="560" w:lineRule="exact"/>
        <w:ind w:firstLineChars="200" w:firstLine="643"/>
        <w:rPr>
          <w:rFonts w:ascii="仿宋_GB2312" w:eastAsia="仿宋_GB2312" w:hAnsi="仿宋"/>
          <w:bCs/>
          <w:sz w:val="32"/>
          <w:szCs w:val="32"/>
        </w:rPr>
      </w:pPr>
      <w:r>
        <w:rPr>
          <w:rFonts w:ascii="楷体_GB2312" w:eastAsia="楷体_GB2312" w:hAnsi="楷体_GB2312" w:cs="楷体_GB2312" w:hint="eastAsia"/>
          <w:b/>
          <w:sz w:val="32"/>
          <w:szCs w:val="32"/>
        </w:rPr>
        <w:t>二、优化居住用地结构布局。</w:t>
      </w:r>
      <w:r>
        <w:rPr>
          <w:rFonts w:ascii="仿宋_GB2312" w:eastAsia="仿宋_GB2312" w:hAnsi="仿宋_GB2312" w:cs="仿宋_GB2312" w:hint="eastAsia"/>
          <w:sz w:val="32"/>
          <w:szCs w:val="32"/>
        </w:rPr>
        <w:t>通过国土空间规划传导机制将规划居住用地面积和建筑面积逐级传导至分区规划和法定图则，并优化城市更新、土地整备、旧住宅区改造等存量土地开发政策，调整用地结构，提高居住用地比例。适当提高都市核心区及各综合性服务中心地区居住用地比例。</w:t>
      </w:r>
      <w:r>
        <w:rPr>
          <w:rFonts w:ascii="仿宋_GB2312" w:eastAsia="仿宋_GB2312" w:hAnsi="仿宋_GB2312" w:cs="仿宋_GB2312"/>
          <w:sz w:val="32"/>
          <w:szCs w:val="32"/>
        </w:rPr>
        <w:t>在保障产业</w:t>
      </w:r>
      <w:r>
        <w:rPr>
          <w:rFonts w:ascii="仿宋_GB2312" w:eastAsia="仿宋_GB2312" w:hAnsi="仿宋_GB2312" w:cs="仿宋_GB2312" w:hint="eastAsia"/>
          <w:sz w:val="32"/>
          <w:szCs w:val="32"/>
        </w:rPr>
        <w:t>空间量质齐升</w:t>
      </w:r>
      <w:r>
        <w:rPr>
          <w:rFonts w:ascii="仿宋_GB2312" w:eastAsia="仿宋_GB2312" w:hAnsi="仿宋_GB2312" w:cs="仿宋_GB2312"/>
          <w:sz w:val="32"/>
          <w:szCs w:val="32"/>
        </w:rPr>
        <w:t>的前提下</w:t>
      </w:r>
      <w:r>
        <w:rPr>
          <w:rFonts w:ascii="仿宋_GB2312" w:eastAsia="仿宋_GB2312" w:hAnsi="仿宋_GB2312" w:cs="仿宋_GB2312" w:hint="eastAsia"/>
          <w:sz w:val="32"/>
          <w:szCs w:val="32"/>
        </w:rPr>
        <w:t>，推进二三产业用地混合利用，增加住房及公共配套设施供给，加快促进产城融合。</w:t>
      </w:r>
    </w:p>
    <w:p w:rsidR="000312B0" w:rsidRDefault="006C3825">
      <w:pPr>
        <w:spacing w:line="560" w:lineRule="exact"/>
        <w:ind w:firstLineChars="200" w:firstLine="643"/>
        <w:rPr>
          <w:rFonts w:ascii="仿宋_GB2312" w:eastAsia="仿宋_GB2312" w:hAnsi="仿宋"/>
          <w:bCs/>
          <w:sz w:val="32"/>
          <w:szCs w:val="32"/>
        </w:rPr>
      </w:pPr>
      <w:r>
        <w:rPr>
          <w:rFonts w:ascii="楷体_GB2312" w:eastAsia="楷体_GB2312" w:hAnsi="楷体_GB2312" w:cs="楷体_GB2312" w:hint="eastAsia"/>
          <w:b/>
          <w:bCs/>
          <w:sz w:val="32"/>
          <w:szCs w:val="32"/>
        </w:rPr>
        <w:t>三、打造宜居适度居住空间。</w:t>
      </w:r>
      <w:r>
        <w:rPr>
          <w:rFonts w:ascii="仿宋_GB2312" w:eastAsia="仿宋_GB2312" w:hAnsi="仿宋" w:hint="eastAsia"/>
          <w:bCs/>
          <w:sz w:val="32"/>
          <w:szCs w:val="32"/>
        </w:rPr>
        <w:t>合理确定住宅建筑高度，</w:t>
      </w:r>
      <w:r>
        <w:rPr>
          <w:rFonts w:ascii="仿宋_GB2312" w:eastAsia="仿宋_GB2312" w:hAnsi="仿宋" w:hint="eastAsia"/>
          <w:bCs/>
          <w:sz w:val="32"/>
          <w:szCs w:val="32"/>
        </w:rPr>
        <w:lastRenderedPageBreak/>
        <w:t>控制</w:t>
      </w:r>
      <w:r>
        <w:rPr>
          <w:rFonts w:ascii="仿宋_GB2312" w:eastAsia="仿宋_GB2312" w:hAnsi="仿宋"/>
          <w:bCs/>
          <w:sz w:val="32"/>
          <w:szCs w:val="32"/>
        </w:rPr>
        <w:t>规划建设超高层住宅建筑</w:t>
      </w:r>
      <w:r>
        <w:rPr>
          <w:rFonts w:ascii="仿宋_GB2312" w:eastAsia="仿宋_GB2312" w:hAnsi="仿宋" w:hint="eastAsia"/>
          <w:bCs/>
          <w:sz w:val="32"/>
          <w:szCs w:val="32"/>
        </w:rPr>
        <w:t>。</w:t>
      </w:r>
      <w:r>
        <w:rPr>
          <w:rFonts w:ascii="仿宋_GB2312" w:eastAsia="仿宋_GB2312" w:hAnsi="仿宋"/>
          <w:bCs/>
          <w:sz w:val="32"/>
          <w:szCs w:val="32"/>
        </w:rPr>
        <w:t>居住用地原则上应为单一用地性质</w:t>
      </w:r>
      <w:r>
        <w:rPr>
          <w:rFonts w:ascii="仿宋_GB2312" w:eastAsia="仿宋_GB2312" w:hAnsi="仿宋" w:hint="eastAsia"/>
          <w:bCs/>
          <w:sz w:val="32"/>
          <w:szCs w:val="32"/>
        </w:rPr>
        <w:t>，确因满足商业功能回迁需求，地块内商业功能建筑面积达到《深圳市城市规划标准与准则》混合用地标准的，用地性质方可规划</w:t>
      </w:r>
      <w:r>
        <w:rPr>
          <w:rFonts w:ascii="仿宋_GB2312" w:eastAsia="仿宋_GB2312" w:hAnsi="仿宋"/>
          <w:bCs/>
          <w:sz w:val="32"/>
          <w:szCs w:val="32"/>
        </w:rPr>
        <w:t>为居住、商业混合用地</w:t>
      </w:r>
      <w:r>
        <w:rPr>
          <w:rFonts w:ascii="仿宋_GB2312" w:eastAsia="仿宋_GB2312" w:hAnsi="仿宋" w:hint="eastAsia"/>
          <w:bCs/>
          <w:sz w:val="32"/>
          <w:szCs w:val="32"/>
        </w:rPr>
        <w:t>（</w:t>
      </w:r>
      <w:r>
        <w:rPr>
          <w:rFonts w:ascii="仿宋_GB2312" w:eastAsia="仿宋_GB2312" w:hAnsi="仿宋" w:hint="eastAsia"/>
          <w:bCs/>
          <w:sz w:val="32"/>
          <w:szCs w:val="32"/>
        </w:rPr>
        <w:t>R+C</w:t>
      </w:r>
      <w:r>
        <w:rPr>
          <w:rFonts w:ascii="仿宋_GB2312" w:eastAsia="仿宋_GB2312" w:hAnsi="仿宋" w:hint="eastAsia"/>
          <w:bCs/>
          <w:sz w:val="32"/>
          <w:szCs w:val="32"/>
        </w:rPr>
        <w:t>或</w:t>
      </w:r>
      <w:r>
        <w:rPr>
          <w:rFonts w:ascii="仿宋_GB2312" w:eastAsia="仿宋_GB2312" w:hAnsi="仿宋" w:hint="eastAsia"/>
          <w:bCs/>
          <w:sz w:val="32"/>
          <w:szCs w:val="32"/>
        </w:rPr>
        <w:t>C+R</w:t>
      </w:r>
      <w:r>
        <w:rPr>
          <w:rFonts w:ascii="仿宋_GB2312" w:eastAsia="仿宋_GB2312" w:hAnsi="仿宋" w:hint="eastAsia"/>
          <w:bCs/>
          <w:sz w:val="32"/>
          <w:szCs w:val="32"/>
        </w:rPr>
        <w:t>）。</w:t>
      </w:r>
    </w:p>
    <w:p w:rsidR="000312B0" w:rsidRDefault="006C3825">
      <w:pPr>
        <w:spacing w:line="560" w:lineRule="exact"/>
        <w:ind w:firstLineChars="200" w:firstLine="643"/>
        <w:rPr>
          <w:rFonts w:ascii="仿宋_GB2312" w:eastAsia="仿宋_GB2312" w:hAnsi="仿宋"/>
          <w:bCs/>
          <w:sz w:val="32"/>
          <w:szCs w:val="32"/>
        </w:rPr>
      </w:pPr>
      <w:r>
        <w:rPr>
          <w:rFonts w:ascii="楷体_GB2312" w:eastAsia="楷体_GB2312" w:hAnsi="楷体_GB2312" w:cs="楷体_GB2312" w:hint="eastAsia"/>
          <w:b/>
          <w:sz w:val="32"/>
          <w:szCs w:val="32"/>
        </w:rPr>
        <w:t>四、提高居住用地开发强度。</w:t>
      </w:r>
      <w:r>
        <w:rPr>
          <w:rFonts w:ascii="仿宋_GB2312" w:eastAsia="仿宋_GB2312" w:hAnsi="仿宋_GB2312" w:cs="仿宋_GB2312" w:hint="eastAsia"/>
          <w:sz w:val="32"/>
          <w:szCs w:val="32"/>
        </w:rPr>
        <w:t>鼓励在已建、在建及已纳入近期建设规划的轨道站点</w:t>
      </w:r>
      <w:r>
        <w:rPr>
          <w:rFonts w:ascii="仿宋_GB2312" w:eastAsia="仿宋_GB2312" w:hAnsi="仿宋_GB2312" w:cs="仿宋_GB2312"/>
          <w:sz w:val="32"/>
          <w:szCs w:val="32"/>
        </w:rPr>
        <w:t>500</w:t>
      </w:r>
      <w:r>
        <w:rPr>
          <w:rFonts w:ascii="仿宋_GB2312" w:eastAsia="仿宋_GB2312" w:hAnsi="仿宋_GB2312" w:cs="仿宋_GB2312"/>
          <w:sz w:val="32"/>
          <w:szCs w:val="32"/>
        </w:rPr>
        <w:t>米范围内实施以居住为主的综合开发。</w:t>
      </w:r>
      <w:r>
        <w:rPr>
          <w:rFonts w:ascii="仿宋_GB2312" w:eastAsia="仿宋_GB2312" w:hAnsi="仿宋_GB2312" w:cs="仿宋_GB2312" w:hint="eastAsia"/>
          <w:bCs/>
          <w:sz w:val="32"/>
          <w:szCs w:val="32"/>
        </w:rPr>
        <w:t>位于密度二、三区的新供应商品住房和公共住房建设项目，容积率可按密度一区居住用地容积率上限执行。位于密度三</w:t>
      </w:r>
      <w:r>
        <w:rPr>
          <w:rFonts w:ascii="仿宋_GB2312" w:eastAsia="仿宋_GB2312" w:hAnsi="仿宋" w:hint="eastAsia"/>
          <w:bCs/>
          <w:sz w:val="32"/>
          <w:szCs w:val="32"/>
        </w:rPr>
        <w:t>区、规划尚未批准的城市更新及土地整备利益统筹项目，居住地块容积率上限可按密度一区容积率上限规定执行。</w:t>
      </w:r>
    </w:p>
    <w:p w:rsidR="000312B0" w:rsidRDefault="006C3825">
      <w:pPr>
        <w:spacing w:line="560" w:lineRule="exact"/>
        <w:ind w:firstLineChars="200" w:firstLine="643"/>
        <w:rPr>
          <w:rFonts w:ascii="仿宋_GB2312" w:eastAsia="仿宋_GB2312" w:hAnsi="仿宋"/>
          <w:bCs/>
          <w:sz w:val="32"/>
          <w:szCs w:val="32"/>
        </w:rPr>
      </w:pPr>
      <w:r>
        <w:rPr>
          <w:rFonts w:ascii="楷体_GB2312" w:eastAsia="楷体_GB2312" w:hAnsi="楷体_GB2312" w:cs="楷体_GB2312" w:hint="eastAsia"/>
          <w:b/>
          <w:bCs/>
          <w:sz w:val="32"/>
          <w:szCs w:val="32"/>
        </w:rPr>
        <w:t>五、统筹公共设施规划建设。</w:t>
      </w:r>
      <w:r>
        <w:rPr>
          <w:rFonts w:ascii="仿宋_GB2312" w:eastAsia="仿宋_GB2312" w:hAnsi="仿宋" w:hint="eastAsia"/>
          <w:bCs/>
          <w:sz w:val="32"/>
          <w:szCs w:val="32"/>
        </w:rPr>
        <w:t>努力实现“民生七有”，</w:t>
      </w:r>
      <w:r>
        <w:rPr>
          <w:rFonts w:ascii="仿宋_GB2312" w:eastAsia="仿宋_GB2312" w:hAnsi="仿宋"/>
          <w:bCs/>
          <w:sz w:val="32"/>
          <w:szCs w:val="32"/>
        </w:rPr>
        <w:t>统筹做好居住用地与</w:t>
      </w:r>
      <w:r>
        <w:rPr>
          <w:rFonts w:ascii="仿宋_GB2312" w:eastAsia="仿宋_GB2312" w:hAnsi="仿宋" w:hint="eastAsia"/>
          <w:bCs/>
          <w:sz w:val="32"/>
          <w:szCs w:val="32"/>
        </w:rPr>
        <w:t>公共</w:t>
      </w:r>
      <w:r>
        <w:rPr>
          <w:rFonts w:ascii="仿宋_GB2312" w:eastAsia="仿宋_GB2312" w:hAnsi="仿宋"/>
          <w:bCs/>
          <w:sz w:val="32"/>
          <w:szCs w:val="32"/>
        </w:rPr>
        <w:t>设施用地的规划布局和建设时序</w:t>
      </w:r>
      <w:r>
        <w:rPr>
          <w:rFonts w:ascii="仿宋_GB2312" w:eastAsia="仿宋_GB2312" w:hAnsi="仿宋" w:hint="eastAsia"/>
          <w:bCs/>
          <w:sz w:val="32"/>
          <w:szCs w:val="32"/>
        </w:rPr>
        <w:t>，加强托幼等与居民日常生活密切相关的公共设施的配置，</w:t>
      </w:r>
      <w:r>
        <w:rPr>
          <w:rFonts w:ascii="仿宋_GB2312" w:eastAsia="仿宋_GB2312" w:hint="eastAsia"/>
          <w:sz w:val="32"/>
          <w:szCs w:val="32"/>
        </w:rPr>
        <w:t>着重保障各项公共设施规划建设，确保完成十四五目标，</w:t>
      </w:r>
      <w:r>
        <w:rPr>
          <w:rFonts w:ascii="仿宋_GB2312" w:eastAsia="仿宋_GB2312" w:hAnsi="仿宋" w:hint="eastAsia"/>
          <w:bCs/>
          <w:sz w:val="32"/>
          <w:szCs w:val="32"/>
        </w:rPr>
        <w:t>构建优质均衡的公共服务体系。落实教育优先发展战略，严格落实学位建设联合审查制度，具有居住功能的建设项目，应</w:t>
      </w:r>
      <w:r>
        <w:rPr>
          <w:rFonts w:ascii="仿宋_GB2312" w:eastAsia="仿宋_GB2312" w:hAnsi="仿宋" w:hint="eastAsia"/>
          <w:bCs/>
          <w:sz w:val="32"/>
          <w:szCs w:val="32"/>
        </w:rPr>
        <w:t>书面征求辖区教育部门意见。现有（含已规划）学前教育和义务教育学位无法满足的，需在项目用地范围内自行解决；无法在项目用地范围内自行解决的，用地单位应统筹若干地块同步规划、同步实施，实现学位需求自平衡；用地单位确实无法实现学位需求自平衡的，项目所在区应明确片区学位统筹配建措施。</w:t>
      </w:r>
    </w:p>
    <w:p w:rsidR="000312B0" w:rsidRDefault="006C3825">
      <w:pPr>
        <w:spacing w:line="560" w:lineRule="exact"/>
        <w:ind w:firstLineChars="200" w:firstLine="643"/>
        <w:rPr>
          <w:rFonts w:ascii="仿宋_GB2312" w:eastAsia="仿宋_GB2312" w:hAnsi="仿宋"/>
          <w:bCs/>
          <w:sz w:val="32"/>
          <w:szCs w:val="32"/>
        </w:rPr>
      </w:pPr>
      <w:r>
        <w:rPr>
          <w:rFonts w:ascii="楷体_GB2312" w:eastAsia="楷体_GB2312" w:hAnsi="楷体_GB2312" w:cs="楷体_GB2312" w:hint="eastAsia"/>
          <w:b/>
          <w:bCs/>
          <w:sz w:val="32"/>
          <w:szCs w:val="32"/>
        </w:rPr>
        <w:t>六、加大新增用地保障力度。</w:t>
      </w:r>
      <w:r>
        <w:rPr>
          <w:rFonts w:ascii="仿宋_GB2312" w:eastAsia="仿宋_GB2312" w:hAnsi="仿宋" w:hint="eastAsia"/>
          <w:bCs/>
          <w:sz w:val="32"/>
          <w:szCs w:val="32"/>
        </w:rPr>
        <w:t>加快建立整备先行、规划</w:t>
      </w:r>
      <w:r>
        <w:rPr>
          <w:rFonts w:ascii="仿宋_GB2312" w:eastAsia="仿宋_GB2312" w:hAnsi="仿宋" w:hint="eastAsia"/>
          <w:bCs/>
          <w:sz w:val="32"/>
          <w:szCs w:val="32"/>
        </w:rPr>
        <w:lastRenderedPageBreak/>
        <w:t>预调、供应高效、滚动推进的居住用地供给机制，保障新增居住用地供给。</w:t>
      </w:r>
    </w:p>
    <w:p w:rsidR="000312B0" w:rsidRDefault="006C3825">
      <w:pPr>
        <w:spacing w:line="560" w:lineRule="exact"/>
        <w:ind w:firstLineChars="200" w:firstLine="640"/>
        <w:rPr>
          <w:rFonts w:ascii="仿宋_GB2312" w:eastAsia="仿宋_GB2312" w:hAnsi="仿宋"/>
          <w:b/>
          <w:bCs/>
          <w:sz w:val="32"/>
          <w:szCs w:val="32"/>
        </w:rPr>
      </w:pPr>
      <w:r>
        <w:rPr>
          <w:rFonts w:ascii="仿宋_GB2312" w:eastAsia="仿宋_GB2312" w:hAnsi="仿宋" w:hint="eastAsia"/>
          <w:bCs/>
          <w:sz w:val="32"/>
          <w:szCs w:val="32"/>
        </w:rPr>
        <w:t>创新居住用地整备模式，划定以居住为主的成片整备片区，加大土地整备实施力度，确保“十四五”期间整备居住潜力用地不少于</w:t>
      </w:r>
      <w:r>
        <w:rPr>
          <w:rFonts w:ascii="仿宋_GB2312" w:eastAsia="仿宋_GB2312" w:hAnsi="仿宋" w:hint="eastAsia"/>
          <w:bCs/>
          <w:sz w:val="32"/>
          <w:szCs w:val="32"/>
        </w:rPr>
        <w:t>10</w:t>
      </w:r>
      <w:r>
        <w:rPr>
          <w:rFonts w:ascii="仿宋_GB2312" w:eastAsia="仿宋_GB2312" w:hAnsi="仿宋" w:hint="eastAsia"/>
          <w:bCs/>
          <w:sz w:val="32"/>
          <w:szCs w:val="32"/>
        </w:rPr>
        <w:t>平</w:t>
      </w:r>
      <w:r>
        <w:rPr>
          <w:rFonts w:ascii="仿宋_GB2312" w:eastAsia="仿宋_GB2312" w:hAnsi="仿宋" w:hint="eastAsia"/>
          <w:bCs/>
          <w:sz w:val="32"/>
          <w:szCs w:val="32"/>
        </w:rPr>
        <w:t>方公里，</w:t>
      </w:r>
      <w:r>
        <w:rPr>
          <w:rFonts w:ascii="仿宋_GB2312" w:eastAsia="仿宋_GB2312" w:hAnsi="仿宋" w:hint="eastAsia"/>
          <w:bCs/>
          <w:sz w:val="32"/>
          <w:szCs w:val="32"/>
        </w:rPr>
        <w:t>2021-2023</w:t>
      </w:r>
      <w:r>
        <w:rPr>
          <w:rFonts w:ascii="仿宋_GB2312" w:eastAsia="仿宋_GB2312" w:hAnsi="仿宋" w:hint="eastAsia"/>
          <w:bCs/>
          <w:sz w:val="32"/>
          <w:szCs w:val="32"/>
        </w:rPr>
        <w:t>年内整备的居住潜力用地不少于</w:t>
      </w:r>
      <w:r>
        <w:rPr>
          <w:rFonts w:ascii="仿宋_GB2312" w:eastAsia="仿宋_GB2312" w:hAnsi="仿宋" w:hint="eastAsia"/>
          <w:bCs/>
          <w:sz w:val="32"/>
          <w:szCs w:val="32"/>
        </w:rPr>
        <w:t>7</w:t>
      </w:r>
      <w:r>
        <w:rPr>
          <w:rFonts w:ascii="仿宋_GB2312" w:eastAsia="仿宋_GB2312" w:hAnsi="仿宋" w:hint="eastAsia"/>
          <w:bCs/>
          <w:sz w:val="32"/>
          <w:szCs w:val="32"/>
        </w:rPr>
        <w:t>平方公里。</w:t>
      </w:r>
    </w:p>
    <w:p w:rsidR="000312B0" w:rsidRDefault="006C3825">
      <w:pPr>
        <w:spacing w:line="560" w:lineRule="exact"/>
        <w:ind w:firstLineChars="200" w:firstLine="640"/>
        <w:rPr>
          <w:rFonts w:ascii="仿宋_GB2312" w:eastAsia="仿宋_GB2312" w:hAnsi="仿宋"/>
          <w:bCs/>
          <w:sz w:val="32"/>
          <w:szCs w:val="32"/>
        </w:rPr>
      </w:pPr>
      <w:r>
        <w:rPr>
          <w:rFonts w:ascii="仿宋_GB2312" w:eastAsia="仿宋_GB2312" w:hAnsi="仿宋" w:hint="eastAsia"/>
          <w:bCs/>
          <w:sz w:val="32"/>
          <w:szCs w:val="32"/>
        </w:rPr>
        <w:t>科学合理、分类分批将储备土地中的发展备用地、商业用地等调整为居住用地</w:t>
      </w:r>
      <w:r>
        <w:rPr>
          <w:rFonts w:ascii="仿宋_GB2312" w:eastAsia="仿宋_GB2312" w:hAnsi="仿宋"/>
          <w:bCs/>
          <w:sz w:val="32"/>
          <w:szCs w:val="32"/>
        </w:rPr>
        <w:t>。</w:t>
      </w:r>
      <w:r>
        <w:rPr>
          <w:rFonts w:ascii="仿宋_GB2312" w:eastAsia="仿宋_GB2312" w:hAnsi="仿宋" w:hint="eastAsia"/>
          <w:bCs/>
          <w:sz w:val="32"/>
          <w:szCs w:val="32"/>
        </w:rPr>
        <w:t>在不影响城市韧性前提下，可对不符合城市发展需求的各类控制线进行优化，释放用地潜力增加居住用地供给。进一步优化规划调整程序，新供应商品住房涉及法定图则调整的，由市规划和自然资源局统一启动报批；公共住房涉及法定图则调整的，由市规划和自然资源局派出机构直接审批。</w:t>
      </w:r>
      <w:r>
        <w:rPr>
          <w:rFonts w:ascii="仿宋_GB2312" w:eastAsia="仿宋_GB2312" w:hAnsi="仿宋" w:hint="eastAsia"/>
          <w:bCs/>
          <w:sz w:val="32"/>
          <w:szCs w:val="32"/>
        </w:rPr>
        <w:t xml:space="preserve"> </w:t>
      </w:r>
    </w:p>
    <w:p w:rsidR="000312B0" w:rsidRDefault="006C3825">
      <w:pPr>
        <w:spacing w:line="560" w:lineRule="exact"/>
        <w:ind w:firstLineChars="200" w:firstLine="643"/>
        <w:rPr>
          <w:rFonts w:ascii="仿宋_GB2312" w:eastAsia="仿宋_GB2312" w:hAnsi="仿宋"/>
          <w:bCs/>
          <w:sz w:val="32"/>
          <w:szCs w:val="32"/>
        </w:rPr>
      </w:pPr>
      <w:r>
        <w:rPr>
          <w:rFonts w:ascii="仿宋_GB2312" w:eastAsia="仿宋_GB2312" w:hAnsi="仿宋" w:hint="eastAsia"/>
          <w:b/>
          <w:bCs/>
          <w:sz w:val="32"/>
          <w:szCs w:val="32"/>
        </w:rPr>
        <w:t>七、有序扩大租赁住房用地供给。</w:t>
      </w:r>
      <w:r>
        <w:rPr>
          <w:rFonts w:ascii="仿宋_GB2312" w:eastAsia="仿宋_GB2312" w:hAnsi="仿宋" w:hint="eastAsia"/>
          <w:bCs/>
          <w:sz w:val="32"/>
          <w:szCs w:val="32"/>
        </w:rPr>
        <w:t>在年度建设用地供应计划中单列租赁住房用地。创新租赁住房用地供应和竞拍模式，通过单独供</w:t>
      </w:r>
      <w:r>
        <w:rPr>
          <w:rFonts w:ascii="仿宋_GB2312" w:eastAsia="仿宋_GB2312" w:hAnsi="仿宋" w:hint="eastAsia"/>
          <w:bCs/>
          <w:sz w:val="32"/>
          <w:szCs w:val="32"/>
        </w:rPr>
        <w:t>地或者“竞全年期自持的租赁商品住房面积”等方式增加租赁住房供给。按照《深圳市落实住房制度改革加快住房用地供应的暂行规定》，以建设出售的公共住房为主的存量用地，也可用于建设全年期自持的租赁商品住房</w:t>
      </w:r>
      <w:r>
        <w:rPr>
          <w:rFonts w:ascii="仿宋_GB2312" w:eastAsia="仿宋_GB2312" w:hAnsi="仿宋"/>
          <w:bCs/>
          <w:sz w:val="32"/>
          <w:szCs w:val="32"/>
        </w:rPr>
        <w:t>。</w:t>
      </w:r>
    </w:p>
    <w:p w:rsidR="000312B0" w:rsidRDefault="006C3825">
      <w:pPr>
        <w:spacing w:line="560" w:lineRule="exact"/>
        <w:ind w:firstLineChars="200" w:firstLine="643"/>
        <w:rPr>
          <w:rFonts w:ascii="仿宋_GB2312" w:eastAsia="仿宋_GB2312" w:hAnsi="仿宋"/>
          <w:b/>
          <w:bCs/>
          <w:sz w:val="32"/>
          <w:szCs w:val="32"/>
        </w:rPr>
      </w:pPr>
      <w:r>
        <w:rPr>
          <w:rFonts w:ascii="楷体_GB2312" w:eastAsia="楷体_GB2312" w:hAnsi="楷体_GB2312" w:cs="楷体_GB2312" w:hint="eastAsia"/>
          <w:b/>
          <w:bCs/>
          <w:sz w:val="32"/>
          <w:szCs w:val="32"/>
        </w:rPr>
        <w:t>八、促进留用土地开发建设。</w:t>
      </w:r>
      <w:r>
        <w:rPr>
          <w:rFonts w:ascii="仿宋_GB2312" w:eastAsia="仿宋_GB2312" w:hAnsi="仿宋" w:hint="eastAsia"/>
          <w:bCs/>
          <w:sz w:val="32"/>
          <w:szCs w:val="32"/>
        </w:rPr>
        <w:t>土地整备留用地（含征地返还用地、利益统筹留用土地，下同）原则上优先安排居住用途。</w:t>
      </w:r>
    </w:p>
    <w:p w:rsidR="000312B0" w:rsidRDefault="006C3825">
      <w:pPr>
        <w:spacing w:line="560" w:lineRule="exact"/>
        <w:ind w:firstLineChars="200" w:firstLine="640"/>
        <w:rPr>
          <w:rFonts w:ascii="仿宋_GB2312" w:eastAsia="仿宋_GB2312" w:hAnsi="仿宋"/>
          <w:bCs/>
          <w:sz w:val="32"/>
          <w:szCs w:val="32"/>
        </w:rPr>
      </w:pPr>
      <w:r>
        <w:rPr>
          <w:rFonts w:ascii="仿宋_GB2312" w:eastAsia="仿宋_GB2312" w:hAnsi="仿宋" w:hint="eastAsia"/>
          <w:bCs/>
          <w:sz w:val="32"/>
          <w:szCs w:val="32"/>
        </w:rPr>
        <w:t>已核发用地批复但尚未签订土地使用权出让合同的土地整备留用地，可申请将非居住用地调整为居住用地或提高</w:t>
      </w:r>
      <w:r>
        <w:rPr>
          <w:rFonts w:ascii="仿宋_GB2312" w:eastAsia="仿宋_GB2312" w:hAnsi="仿宋" w:hint="eastAsia"/>
          <w:bCs/>
          <w:sz w:val="32"/>
          <w:szCs w:val="32"/>
        </w:rPr>
        <w:lastRenderedPageBreak/>
        <w:t>居住用地开发强度：</w:t>
      </w:r>
    </w:p>
    <w:p w:rsidR="000312B0" w:rsidRDefault="006C3825">
      <w:pPr>
        <w:spacing w:line="560" w:lineRule="exact"/>
        <w:ind w:firstLineChars="200" w:firstLine="640"/>
        <w:rPr>
          <w:rFonts w:ascii="仿宋_GB2312" w:eastAsia="仿宋_GB2312" w:hAnsi="仿宋"/>
          <w:bCs/>
          <w:sz w:val="32"/>
          <w:szCs w:val="32"/>
        </w:rPr>
      </w:pPr>
      <w:r>
        <w:rPr>
          <w:rFonts w:ascii="仿宋_GB2312" w:eastAsia="仿宋_GB2312" w:hAnsi="仿宋" w:hint="eastAsia"/>
          <w:bCs/>
          <w:sz w:val="32"/>
          <w:szCs w:val="32"/>
        </w:rPr>
        <w:t>（一）原批准土地用途为居住的，可申请提高开发强度，超出原批复规模的，可用于建设出售的公共</w:t>
      </w:r>
      <w:r>
        <w:rPr>
          <w:rFonts w:ascii="仿宋_GB2312" w:eastAsia="仿宋_GB2312" w:hAnsi="仿宋" w:hint="eastAsia"/>
          <w:bCs/>
          <w:sz w:val="32"/>
          <w:szCs w:val="32"/>
        </w:rPr>
        <w:t>住房，或用于落实未落地或已落地但无法实施的土地整备留用地。</w:t>
      </w:r>
    </w:p>
    <w:p w:rsidR="000312B0" w:rsidRDefault="006C3825">
      <w:pPr>
        <w:spacing w:line="560" w:lineRule="exact"/>
        <w:ind w:firstLineChars="200" w:firstLine="640"/>
        <w:rPr>
          <w:rFonts w:ascii="仿宋_GB2312" w:eastAsia="仿宋_GB2312" w:hAnsi="仿宋"/>
          <w:bCs/>
          <w:sz w:val="32"/>
          <w:szCs w:val="32"/>
        </w:rPr>
      </w:pPr>
      <w:r>
        <w:rPr>
          <w:rFonts w:ascii="仿宋_GB2312" w:eastAsia="仿宋_GB2312" w:hAnsi="仿宋" w:hint="eastAsia"/>
          <w:bCs/>
          <w:sz w:val="32"/>
          <w:szCs w:val="32"/>
        </w:rPr>
        <w:t>（二）原批准土地用途为商业的，可申请将部分或全部商业</w:t>
      </w:r>
      <w:r>
        <w:rPr>
          <w:rFonts w:ascii="仿宋_GB2312" w:eastAsia="仿宋_GB2312" w:hAnsi="仿宋"/>
          <w:bCs/>
          <w:sz w:val="32"/>
          <w:szCs w:val="32"/>
        </w:rPr>
        <w:t>建筑</w:t>
      </w:r>
      <w:r>
        <w:rPr>
          <w:rFonts w:ascii="仿宋_GB2312" w:eastAsia="仿宋_GB2312" w:hAnsi="仿宋" w:hint="eastAsia"/>
          <w:bCs/>
          <w:sz w:val="32"/>
          <w:szCs w:val="32"/>
        </w:rPr>
        <w:t>面积调整为居住用途，其中商品住房面积按所调整商业建筑面积的</w:t>
      </w:r>
      <w:r>
        <w:rPr>
          <w:rFonts w:ascii="仿宋_GB2312" w:eastAsia="仿宋_GB2312" w:hAnsi="仿宋"/>
          <w:bCs/>
          <w:sz w:val="32"/>
          <w:szCs w:val="32"/>
        </w:rPr>
        <w:t>30%</w:t>
      </w:r>
      <w:r>
        <w:rPr>
          <w:rFonts w:ascii="仿宋_GB2312" w:eastAsia="仿宋_GB2312" w:hAnsi="仿宋" w:hint="eastAsia"/>
          <w:bCs/>
          <w:sz w:val="32"/>
          <w:szCs w:val="32"/>
        </w:rPr>
        <w:t>确定，其余住宅建筑面积作为出售的公共住房。调整后按本措施可提高居住用地开发强度的，新增的住宅建筑面积为出售的公共住房。</w:t>
      </w:r>
    </w:p>
    <w:p w:rsidR="000312B0" w:rsidRDefault="006C3825">
      <w:pPr>
        <w:spacing w:line="560" w:lineRule="exact"/>
        <w:ind w:firstLineChars="200" w:firstLine="640"/>
        <w:rPr>
          <w:rFonts w:ascii="仿宋_GB2312" w:eastAsia="仿宋_GB2312" w:hAnsi="仿宋"/>
          <w:bCs/>
          <w:sz w:val="32"/>
          <w:szCs w:val="32"/>
        </w:rPr>
      </w:pPr>
      <w:r>
        <w:rPr>
          <w:rFonts w:ascii="仿宋_GB2312" w:eastAsia="仿宋_GB2312" w:hAnsi="仿宋" w:hint="eastAsia"/>
          <w:bCs/>
          <w:sz w:val="32"/>
          <w:szCs w:val="32"/>
        </w:rPr>
        <w:t>实施范围内房屋拆除量小于</w:t>
      </w:r>
      <w:r>
        <w:rPr>
          <w:rFonts w:ascii="仿宋_GB2312" w:eastAsia="仿宋_GB2312" w:hAnsi="仿宋" w:hint="eastAsia"/>
          <w:bCs/>
          <w:sz w:val="32"/>
          <w:szCs w:val="32"/>
        </w:rPr>
        <w:t>10</w:t>
      </w:r>
      <w:r>
        <w:rPr>
          <w:rFonts w:ascii="仿宋_GB2312" w:eastAsia="仿宋_GB2312" w:hAnsi="仿宋" w:hint="eastAsia"/>
          <w:bCs/>
          <w:sz w:val="32"/>
          <w:szCs w:val="32"/>
        </w:rPr>
        <w:t>万平方米的土地整备利益统筹项目原则上应在实施协议签订两年内办理留用地出让手续，征地返还地原则上应在留用地批复两年内办理留用地出让手续；应在实施协议内约定或在批复中明确未在上述期限内</w:t>
      </w:r>
      <w:r>
        <w:rPr>
          <w:rFonts w:ascii="仿宋_GB2312" w:eastAsia="仿宋_GB2312" w:hAnsi="仿宋"/>
          <w:bCs/>
          <w:sz w:val="32"/>
          <w:szCs w:val="32"/>
        </w:rPr>
        <w:t>办理留用地出让手续的</w:t>
      </w:r>
      <w:r>
        <w:rPr>
          <w:rFonts w:ascii="仿宋_GB2312" w:eastAsia="仿宋_GB2312" w:hAnsi="仿宋" w:hint="eastAsia"/>
          <w:bCs/>
          <w:sz w:val="32"/>
          <w:szCs w:val="32"/>
        </w:rPr>
        <w:t>，地价在原有计收标准的基础上逐年</w:t>
      </w:r>
      <w:r>
        <w:rPr>
          <w:rFonts w:ascii="仿宋_GB2312" w:eastAsia="仿宋_GB2312" w:hAnsi="仿宋"/>
          <w:bCs/>
          <w:sz w:val="32"/>
          <w:szCs w:val="32"/>
        </w:rPr>
        <w:t>递增</w:t>
      </w:r>
      <w:r>
        <w:rPr>
          <w:rFonts w:ascii="仿宋_GB2312" w:eastAsia="仿宋_GB2312" w:hAnsi="仿宋" w:hint="eastAsia"/>
          <w:bCs/>
          <w:sz w:val="32"/>
          <w:szCs w:val="32"/>
        </w:rPr>
        <w:t>10</w:t>
      </w:r>
      <w:r>
        <w:rPr>
          <w:rFonts w:ascii="仿宋_GB2312" w:eastAsia="仿宋_GB2312" w:hAnsi="仿宋"/>
          <w:bCs/>
          <w:sz w:val="32"/>
          <w:szCs w:val="32"/>
        </w:rPr>
        <w:t>%</w:t>
      </w:r>
      <w:r>
        <w:rPr>
          <w:rFonts w:ascii="仿宋_GB2312" w:eastAsia="仿宋_GB2312" w:hAnsi="仿宋" w:hint="eastAsia"/>
          <w:bCs/>
          <w:sz w:val="32"/>
          <w:szCs w:val="32"/>
        </w:rPr>
        <w:t>。本措施实施前已签订项目实施协议或已下发征地返还地批复的，应从本措施施行之日起算两年内办理留用地出让手续。</w:t>
      </w:r>
    </w:p>
    <w:p w:rsidR="000312B0" w:rsidRDefault="006C3825">
      <w:pPr>
        <w:spacing w:line="520" w:lineRule="exact"/>
        <w:ind w:firstLine="643"/>
        <w:rPr>
          <w:rFonts w:ascii="仿宋_GB2312" w:eastAsia="仿宋_GB2312" w:hAnsi="仿宋"/>
          <w:bCs/>
          <w:sz w:val="32"/>
          <w:szCs w:val="32"/>
        </w:rPr>
      </w:pPr>
      <w:r>
        <w:rPr>
          <w:rFonts w:ascii="仿宋_GB2312" w:eastAsia="仿宋_GB2312" w:hAnsi="仿宋" w:hint="eastAsia"/>
          <w:b/>
          <w:bCs/>
          <w:sz w:val="32"/>
          <w:szCs w:val="32"/>
        </w:rPr>
        <w:t>九、</w:t>
      </w:r>
      <w:r>
        <w:rPr>
          <w:rFonts w:ascii="仿宋_GB2312" w:eastAsia="仿宋_GB2312" w:hAnsi="仿宋"/>
          <w:b/>
          <w:bCs/>
          <w:sz w:val="32"/>
          <w:szCs w:val="32"/>
        </w:rPr>
        <w:t>引导未批规划</w:t>
      </w:r>
      <w:r>
        <w:rPr>
          <w:rFonts w:ascii="仿宋_GB2312" w:eastAsia="仿宋_GB2312" w:hAnsi="仿宋" w:hint="eastAsia"/>
          <w:b/>
          <w:bCs/>
          <w:sz w:val="32"/>
          <w:szCs w:val="32"/>
        </w:rPr>
        <w:t>更新</w:t>
      </w:r>
      <w:r>
        <w:rPr>
          <w:rFonts w:ascii="仿宋_GB2312" w:eastAsia="仿宋_GB2312" w:hAnsi="仿宋"/>
          <w:b/>
          <w:bCs/>
          <w:sz w:val="32"/>
          <w:szCs w:val="32"/>
        </w:rPr>
        <w:t>项目建设住宅。</w:t>
      </w:r>
      <w:r>
        <w:rPr>
          <w:rFonts w:ascii="仿宋_GB2312" w:eastAsia="仿宋_GB2312" w:hAnsi="仿宋"/>
          <w:bCs/>
          <w:sz w:val="32"/>
          <w:szCs w:val="32"/>
        </w:rPr>
        <w:t>城市更新单元规划尚未批准的项目（含尚未列入城市更新单元计划的项目，小地块</w:t>
      </w:r>
      <w:r>
        <w:rPr>
          <w:rFonts w:ascii="仿宋_GB2312" w:eastAsia="仿宋_GB2312" w:hAnsi="仿宋" w:hint="eastAsia"/>
          <w:bCs/>
          <w:sz w:val="32"/>
          <w:szCs w:val="32"/>
        </w:rPr>
        <w:t>城市更新</w:t>
      </w:r>
      <w:r>
        <w:rPr>
          <w:rFonts w:ascii="仿宋_GB2312" w:eastAsia="仿宋_GB2312" w:hAnsi="仿宋"/>
          <w:bCs/>
          <w:sz w:val="32"/>
          <w:szCs w:val="32"/>
        </w:rPr>
        <w:t>项目除外），可按以下规定增加住房供应：</w:t>
      </w:r>
    </w:p>
    <w:p w:rsidR="000312B0" w:rsidRDefault="006C3825">
      <w:pPr>
        <w:spacing w:line="520" w:lineRule="exact"/>
        <w:ind w:firstLineChars="200" w:firstLine="640"/>
        <w:rPr>
          <w:rFonts w:ascii="仿宋_GB2312" w:eastAsia="仿宋_GB2312" w:hAnsi="仿宋"/>
          <w:bCs/>
          <w:sz w:val="32"/>
          <w:szCs w:val="32"/>
        </w:rPr>
      </w:pPr>
      <w:r>
        <w:rPr>
          <w:rFonts w:ascii="仿宋_GB2312" w:eastAsia="仿宋_GB2312" w:hAnsi="仿宋" w:hint="eastAsia"/>
          <w:bCs/>
          <w:sz w:val="32"/>
          <w:szCs w:val="32"/>
        </w:rPr>
        <w:t>（一）</w:t>
      </w:r>
      <w:r>
        <w:rPr>
          <w:rFonts w:ascii="仿宋_GB2312" w:eastAsia="仿宋_GB2312" w:hAnsi="仿宋"/>
          <w:bCs/>
          <w:sz w:val="32"/>
          <w:szCs w:val="32"/>
        </w:rPr>
        <w:t>计划公告更新方向以居住为主或本措施施行前的法定图则的主导功能为居住的（居住用地占比超过</w:t>
      </w:r>
      <w:r>
        <w:rPr>
          <w:rFonts w:ascii="仿宋_GB2312" w:eastAsia="仿宋_GB2312" w:hAnsi="仿宋"/>
          <w:bCs/>
          <w:sz w:val="32"/>
          <w:szCs w:val="32"/>
        </w:rPr>
        <w:t>50%</w:t>
      </w:r>
      <w:r>
        <w:rPr>
          <w:rFonts w:ascii="仿宋_GB2312" w:eastAsia="仿宋_GB2312" w:hAnsi="仿宋"/>
          <w:bCs/>
          <w:sz w:val="32"/>
          <w:szCs w:val="32"/>
        </w:rPr>
        <w:t>），除无偿移交政府的用地外，城市更新单元规划确定的开发建设用地可规划为居住用地，并按现行政</w:t>
      </w:r>
      <w:r>
        <w:rPr>
          <w:rFonts w:ascii="仿宋_GB2312" w:eastAsia="仿宋_GB2312" w:hAnsi="仿宋"/>
          <w:bCs/>
          <w:sz w:val="32"/>
          <w:szCs w:val="32"/>
        </w:rPr>
        <w:t>策配建公共住房，无须调整更新单元计划和法定图则。</w:t>
      </w:r>
    </w:p>
    <w:p w:rsidR="000312B0" w:rsidRDefault="006C3825">
      <w:pPr>
        <w:spacing w:line="520" w:lineRule="exact"/>
        <w:ind w:firstLineChars="200" w:firstLine="640"/>
        <w:rPr>
          <w:rFonts w:ascii="仿宋_GB2312" w:eastAsia="仿宋_GB2312" w:hAnsi="仿宋"/>
          <w:bCs/>
          <w:sz w:val="32"/>
          <w:szCs w:val="32"/>
        </w:rPr>
      </w:pPr>
      <w:r>
        <w:rPr>
          <w:rFonts w:ascii="仿宋_GB2312" w:eastAsia="仿宋_GB2312" w:hAnsi="仿宋" w:hint="eastAsia"/>
          <w:bCs/>
          <w:sz w:val="32"/>
          <w:szCs w:val="32"/>
        </w:rPr>
        <w:lastRenderedPageBreak/>
        <w:t>（二）</w:t>
      </w:r>
      <w:r>
        <w:rPr>
          <w:rFonts w:ascii="仿宋_GB2312" w:eastAsia="仿宋_GB2312" w:hAnsi="仿宋"/>
          <w:bCs/>
          <w:sz w:val="32"/>
          <w:szCs w:val="32"/>
        </w:rPr>
        <w:t>计划公告更新方向以商业为主或法定图则的主导功能为商业的，可将更新方向调整为居住</w:t>
      </w:r>
      <w:r>
        <w:rPr>
          <w:rFonts w:ascii="仿宋_GB2312" w:eastAsia="仿宋_GB2312" w:hAnsi="仿宋"/>
          <w:sz w:val="32"/>
          <w:szCs w:val="32"/>
        </w:rPr>
        <w:t>（公共住房为主）</w:t>
      </w:r>
      <w:r>
        <w:rPr>
          <w:rFonts w:ascii="仿宋_GB2312" w:eastAsia="仿宋_GB2312" w:hAnsi="仿宋"/>
          <w:bCs/>
          <w:sz w:val="32"/>
          <w:szCs w:val="32"/>
        </w:rPr>
        <w:t>后，按照现行规则确定单元规划容积。其中，出售的公共住房建筑面积占规划容积（不包含公共配套设施）的比例应不低于</w:t>
      </w:r>
      <w:r>
        <w:rPr>
          <w:rFonts w:ascii="仿宋_GB2312" w:eastAsia="仿宋_GB2312" w:hAnsi="仿宋"/>
          <w:bCs/>
          <w:sz w:val="32"/>
          <w:szCs w:val="32"/>
        </w:rPr>
        <w:t>60%</w:t>
      </w:r>
      <w:r>
        <w:rPr>
          <w:rFonts w:ascii="仿宋_GB2312" w:eastAsia="仿宋_GB2312" w:hAnsi="仿宋"/>
          <w:bCs/>
          <w:sz w:val="32"/>
          <w:szCs w:val="32"/>
        </w:rPr>
        <w:t>，实施主体可取得的商品性质建筑面积不超过按照表</w:t>
      </w:r>
      <w:r>
        <w:rPr>
          <w:rFonts w:ascii="仿宋_GB2312" w:eastAsia="仿宋_GB2312" w:hAnsi="仿宋"/>
          <w:bCs/>
          <w:sz w:val="32"/>
          <w:szCs w:val="32"/>
        </w:rPr>
        <w:t>1</w:t>
      </w:r>
      <w:r>
        <w:rPr>
          <w:rFonts w:ascii="仿宋_GB2312" w:eastAsia="仿宋_GB2312" w:hAnsi="仿宋"/>
          <w:bCs/>
          <w:sz w:val="32"/>
          <w:szCs w:val="32"/>
        </w:rPr>
        <w:t>核算系数校核的面积。</w:t>
      </w:r>
      <w:r>
        <w:rPr>
          <w:rFonts w:ascii="仿宋_GB2312" w:eastAsia="仿宋_GB2312" w:hAnsi="仿宋" w:hint="eastAsia"/>
          <w:bCs/>
          <w:sz w:val="32"/>
          <w:szCs w:val="32"/>
        </w:rPr>
        <w:t>此类</w:t>
      </w:r>
      <w:r>
        <w:rPr>
          <w:rFonts w:ascii="仿宋_GB2312" w:eastAsia="仿宋_GB2312" w:hAnsi="仿宋"/>
          <w:bCs/>
          <w:sz w:val="32"/>
          <w:szCs w:val="32"/>
        </w:rPr>
        <w:t>项目应先按照保障性住房简易程序调整法定图则用地功能</w:t>
      </w:r>
      <w:r>
        <w:rPr>
          <w:rFonts w:ascii="仿宋_GB2312" w:eastAsia="仿宋_GB2312" w:hAnsi="仿宋" w:hint="eastAsia"/>
          <w:bCs/>
          <w:sz w:val="32"/>
          <w:szCs w:val="32"/>
        </w:rPr>
        <w:t>；</w:t>
      </w:r>
      <w:r>
        <w:rPr>
          <w:rFonts w:ascii="仿宋_GB2312" w:eastAsia="仿宋_GB2312" w:hAnsi="仿宋"/>
          <w:bCs/>
          <w:sz w:val="32"/>
          <w:szCs w:val="32"/>
        </w:rPr>
        <w:t>其中已列入城市更新单元计划的项目，可同步开展城市更新单元计划调整和规划审批工作。</w:t>
      </w:r>
      <w:r>
        <w:rPr>
          <w:rFonts w:ascii="仿宋_GB2312" w:eastAsia="仿宋_GB2312" w:hAnsi="仿宋" w:hint="eastAsia"/>
          <w:bCs/>
          <w:sz w:val="32"/>
          <w:szCs w:val="32"/>
        </w:rPr>
        <w:t>本措施施行后，法定图则用地功能由商业功能调整</w:t>
      </w:r>
      <w:r>
        <w:rPr>
          <w:rFonts w:ascii="仿宋_GB2312" w:eastAsia="仿宋_GB2312" w:hAnsi="仿宋" w:hint="eastAsia"/>
          <w:bCs/>
          <w:sz w:val="32"/>
          <w:szCs w:val="32"/>
        </w:rPr>
        <w:t>为居住功能的现状建成区，其更新改造</w:t>
      </w:r>
      <w:r w:rsidR="00291F4D">
        <w:rPr>
          <w:rFonts w:ascii="仿宋_GB2312" w:eastAsia="仿宋_GB2312" w:hAnsi="仿宋" w:hint="eastAsia"/>
          <w:bCs/>
          <w:sz w:val="32"/>
          <w:szCs w:val="32"/>
        </w:rPr>
        <w:t>按</w:t>
      </w:r>
      <w:bookmarkStart w:id="0" w:name="_GoBack"/>
      <w:bookmarkEnd w:id="0"/>
      <w:r>
        <w:rPr>
          <w:rFonts w:ascii="仿宋_GB2312" w:eastAsia="仿宋_GB2312" w:hAnsi="仿宋" w:hint="eastAsia"/>
          <w:bCs/>
          <w:sz w:val="32"/>
          <w:szCs w:val="32"/>
        </w:rPr>
        <w:t>此项规定执行。</w:t>
      </w:r>
    </w:p>
    <w:p w:rsidR="000312B0" w:rsidRDefault="006C3825">
      <w:pPr>
        <w:spacing w:line="520" w:lineRule="exact"/>
        <w:jc w:val="center"/>
        <w:rPr>
          <w:rFonts w:ascii="仿宋_GB2312" w:eastAsia="仿宋_GB2312" w:hAnsi="仿宋"/>
          <w:bCs/>
          <w:sz w:val="32"/>
          <w:szCs w:val="32"/>
        </w:rPr>
      </w:pPr>
      <w:r>
        <w:rPr>
          <w:rFonts w:ascii="仿宋_GB2312" w:eastAsia="仿宋_GB2312" w:hAnsi="仿宋"/>
          <w:bCs/>
          <w:sz w:val="32"/>
          <w:szCs w:val="32"/>
        </w:rPr>
        <w:t>表</w:t>
      </w:r>
      <w:r>
        <w:rPr>
          <w:rFonts w:ascii="仿宋_GB2312" w:eastAsia="仿宋_GB2312" w:hAnsi="仿宋"/>
          <w:bCs/>
          <w:sz w:val="32"/>
          <w:szCs w:val="32"/>
        </w:rPr>
        <w:t>1</w:t>
      </w:r>
      <w:r>
        <w:rPr>
          <w:rFonts w:ascii="仿宋_GB2312" w:eastAsia="仿宋_GB2312" w:hAnsi="仿宋"/>
          <w:bCs/>
          <w:sz w:val="32"/>
          <w:szCs w:val="32"/>
        </w:rPr>
        <w:t>：商品性质建筑面积核算系数表</w:t>
      </w:r>
    </w:p>
    <w:tbl>
      <w:tblPr>
        <w:tblW w:w="83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07"/>
        <w:gridCol w:w="2710"/>
        <w:gridCol w:w="2712"/>
      </w:tblGrid>
      <w:tr w:rsidR="000312B0">
        <w:trPr>
          <w:trHeight w:val="319"/>
        </w:trPr>
        <w:tc>
          <w:tcPr>
            <w:tcW w:w="2907" w:type="dxa"/>
            <w:vAlign w:val="center"/>
          </w:tcPr>
          <w:p w:rsidR="000312B0" w:rsidRDefault="000312B0">
            <w:pPr>
              <w:widowControl/>
              <w:spacing w:line="520" w:lineRule="exact"/>
              <w:jc w:val="center"/>
              <w:rPr>
                <w:rFonts w:ascii="仿宋_GB2312" w:eastAsia="仿宋_GB2312" w:hAnsi="仿宋"/>
                <w:bCs/>
                <w:sz w:val="28"/>
                <w:szCs w:val="28"/>
              </w:rPr>
            </w:pPr>
          </w:p>
        </w:tc>
        <w:tc>
          <w:tcPr>
            <w:tcW w:w="2710" w:type="dxa"/>
          </w:tcPr>
          <w:p w:rsidR="000312B0" w:rsidRDefault="006C3825">
            <w:pPr>
              <w:widowControl/>
              <w:spacing w:line="520" w:lineRule="exact"/>
              <w:jc w:val="center"/>
              <w:rPr>
                <w:rFonts w:ascii="仿宋_GB2312" w:eastAsia="仿宋_GB2312" w:hAnsi="仿宋"/>
                <w:bCs/>
                <w:sz w:val="28"/>
                <w:szCs w:val="28"/>
              </w:rPr>
            </w:pPr>
            <w:r>
              <w:rPr>
                <w:rFonts w:ascii="仿宋_GB2312" w:eastAsia="仿宋_GB2312" w:hAnsi="仿宋"/>
                <w:bCs/>
                <w:sz w:val="28"/>
                <w:szCs w:val="28"/>
              </w:rPr>
              <w:t>现状商业</w:t>
            </w:r>
            <w:r>
              <w:rPr>
                <w:rFonts w:ascii="仿宋_GB2312" w:eastAsia="仿宋_GB2312" w:hAnsi="仿宋" w:hint="eastAsia"/>
                <w:bCs/>
                <w:sz w:val="28"/>
                <w:szCs w:val="28"/>
              </w:rPr>
              <w:t>、</w:t>
            </w:r>
            <w:r>
              <w:rPr>
                <w:rFonts w:ascii="仿宋_GB2312" w:eastAsia="仿宋_GB2312" w:hAnsi="仿宋"/>
                <w:bCs/>
                <w:sz w:val="28"/>
                <w:szCs w:val="28"/>
              </w:rPr>
              <w:t>居住</w:t>
            </w:r>
          </w:p>
        </w:tc>
        <w:tc>
          <w:tcPr>
            <w:tcW w:w="2712" w:type="dxa"/>
          </w:tcPr>
          <w:p w:rsidR="000312B0" w:rsidRDefault="006C3825">
            <w:pPr>
              <w:widowControl/>
              <w:spacing w:line="520" w:lineRule="exact"/>
              <w:jc w:val="center"/>
              <w:rPr>
                <w:rFonts w:ascii="仿宋_GB2312" w:eastAsia="仿宋_GB2312" w:hAnsi="仿宋"/>
                <w:bCs/>
                <w:sz w:val="28"/>
                <w:szCs w:val="28"/>
              </w:rPr>
            </w:pPr>
            <w:r>
              <w:rPr>
                <w:rFonts w:ascii="仿宋_GB2312" w:eastAsia="仿宋_GB2312" w:hAnsi="仿宋" w:hint="eastAsia"/>
                <w:bCs/>
                <w:sz w:val="28"/>
                <w:szCs w:val="28"/>
              </w:rPr>
              <w:t>其他功能</w:t>
            </w:r>
          </w:p>
        </w:tc>
      </w:tr>
      <w:tr w:rsidR="000312B0">
        <w:trPr>
          <w:trHeight w:val="391"/>
        </w:trPr>
        <w:tc>
          <w:tcPr>
            <w:tcW w:w="2907" w:type="dxa"/>
            <w:vAlign w:val="center"/>
          </w:tcPr>
          <w:p w:rsidR="000312B0" w:rsidRDefault="006C3825">
            <w:pPr>
              <w:widowControl/>
              <w:spacing w:line="520" w:lineRule="exact"/>
              <w:jc w:val="center"/>
              <w:rPr>
                <w:rFonts w:ascii="仿宋_GB2312" w:eastAsia="仿宋_GB2312" w:hAnsi="仿宋"/>
                <w:bCs/>
                <w:sz w:val="28"/>
                <w:szCs w:val="28"/>
              </w:rPr>
            </w:pPr>
            <w:r>
              <w:rPr>
                <w:rFonts w:ascii="仿宋_GB2312" w:eastAsia="仿宋_GB2312" w:hAnsi="仿宋"/>
                <w:bCs/>
                <w:sz w:val="28"/>
                <w:szCs w:val="28"/>
              </w:rPr>
              <w:t>密度一区</w:t>
            </w:r>
          </w:p>
        </w:tc>
        <w:tc>
          <w:tcPr>
            <w:tcW w:w="2710" w:type="dxa"/>
          </w:tcPr>
          <w:p w:rsidR="000312B0" w:rsidRDefault="006C3825">
            <w:pPr>
              <w:widowControl/>
              <w:spacing w:line="520" w:lineRule="exact"/>
              <w:jc w:val="center"/>
              <w:rPr>
                <w:rFonts w:ascii="仿宋_GB2312" w:eastAsia="仿宋_GB2312" w:hAnsi="仿宋"/>
                <w:bCs/>
                <w:sz w:val="28"/>
                <w:szCs w:val="28"/>
              </w:rPr>
            </w:pPr>
            <w:r>
              <w:rPr>
                <w:rFonts w:ascii="仿宋_GB2312" w:eastAsia="仿宋_GB2312" w:hAnsi="仿宋"/>
                <w:bCs/>
                <w:sz w:val="28"/>
                <w:szCs w:val="28"/>
              </w:rPr>
              <w:t>1.1</w:t>
            </w:r>
          </w:p>
        </w:tc>
        <w:tc>
          <w:tcPr>
            <w:tcW w:w="2712" w:type="dxa"/>
          </w:tcPr>
          <w:p w:rsidR="000312B0" w:rsidRDefault="006C3825">
            <w:pPr>
              <w:widowControl/>
              <w:spacing w:line="520" w:lineRule="exact"/>
              <w:jc w:val="center"/>
              <w:rPr>
                <w:rFonts w:ascii="仿宋_GB2312" w:eastAsia="仿宋_GB2312" w:hAnsi="仿宋"/>
                <w:bCs/>
                <w:sz w:val="28"/>
                <w:szCs w:val="28"/>
              </w:rPr>
            </w:pPr>
            <w:r>
              <w:rPr>
                <w:rFonts w:ascii="仿宋_GB2312" w:eastAsia="仿宋_GB2312" w:hAnsi="仿宋"/>
                <w:bCs/>
                <w:sz w:val="28"/>
                <w:szCs w:val="28"/>
              </w:rPr>
              <w:t>0.</w:t>
            </w:r>
            <w:r>
              <w:rPr>
                <w:rFonts w:ascii="仿宋_GB2312" w:eastAsia="仿宋_GB2312" w:hAnsi="仿宋" w:hint="eastAsia"/>
                <w:bCs/>
                <w:sz w:val="28"/>
                <w:szCs w:val="28"/>
              </w:rPr>
              <w:t>6</w:t>
            </w:r>
          </w:p>
        </w:tc>
      </w:tr>
      <w:tr w:rsidR="000312B0">
        <w:trPr>
          <w:trHeight w:val="368"/>
        </w:trPr>
        <w:tc>
          <w:tcPr>
            <w:tcW w:w="2907" w:type="dxa"/>
            <w:vAlign w:val="center"/>
          </w:tcPr>
          <w:p w:rsidR="000312B0" w:rsidRDefault="006C3825">
            <w:pPr>
              <w:widowControl/>
              <w:spacing w:line="520" w:lineRule="exact"/>
              <w:jc w:val="center"/>
              <w:rPr>
                <w:rFonts w:ascii="仿宋_GB2312" w:eastAsia="仿宋_GB2312" w:hAnsi="仿宋"/>
                <w:bCs/>
                <w:sz w:val="28"/>
                <w:szCs w:val="28"/>
              </w:rPr>
            </w:pPr>
            <w:r>
              <w:rPr>
                <w:rFonts w:ascii="仿宋_GB2312" w:eastAsia="仿宋_GB2312" w:hAnsi="仿宋"/>
                <w:bCs/>
                <w:sz w:val="28"/>
                <w:szCs w:val="28"/>
              </w:rPr>
              <w:t>密度二区</w:t>
            </w:r>
          </w:p>
        </w:tc>
        <w:tc>
          <w:tcPr>
            <w:tcW w:w="2710" w:type="dxa"/>
          </w:tcPr>
          <w:p w:rsidR="000312B0" w:rsidRDefault="006C3825">
            <w:pPr>
              <w:widowControl/>
              <w:spacing w:line="520" w:lineRule="exact"/>
              <w:jc w:val="center"/>
              <w:rPr>
                <w:rFonts w:ascii="仿宋_GB2312" w:eastAsia="仿宋_GB2312" w:hAnsi="仿宋"/>
                <w:bCs/>
                <w:sz w:val="28"/>
                <w:szCs w:val="28"/>
              </w:rPr>
            </w:pPr>
            <w:r>
              <w:rPr>
                <w:rFonts w:ascii="仿宋_GB2312" w:eastAsia="仿宋_GB2312" w:hAnsi="仿宋"/>
                <w:bCs/>
                <w:sz w:val="28"/>
                <w:szCs w:val="28"/>
              </w:rPr>
              <w:t>1.2</w:t>
            </w:r>
          </w:p>
        </w:tc>
        <w:tc>
          <w:tcPr>
            <w:tcW w:w="2712" w:type="dxa"/>
          </w:tcPr>
          <w:p w:rsidR="000312B0" w:rsidRDefault="006C3825">
            <w:pPr>
              <w:widowControl/>
              <w:spacing w:line="520" w:lineRule="exact"/>
              <w:jc w:val="center"/>
              <w:rPr>
                <w:rFonts w:ascii="仿宋_GB2312" w:eastAsia="仿宋_GB2312" w:hAnsi="仿宋"/>
                <w:bCs/>
                <w:sz w:val="28"/>
                <w:szCs w:val="28"/>
              </w:rPr>
            </w:pPr>
            <w:r>
              <w:rPr>
                <w:rFonts w:ascii="仿宋_GB2312" w:eastAsia="仿宋_GB2312" w:hAnsi="仿宋"/>
                <w:bCs/>
                <w:sz w:val="28"/>
                <w:szCs w:val="28"/>
              </w:rPr>
              <w:t>0.</w:t>
            </w:r>
            <w:r>
              <w:rPr>
                <w:rFonts w:ascii="仿宋_GB2312" w:eastAsia="仿宋_GB2312" w:hAnsi="仿宋" w:hint="eastAsia"/>
                <w:bCs/>
                <w:sz w:val="28"/>
                <w:szCs w:val="28"/>
              </w:rPr>
              <w:t>7</w:t>
            </w:r>
          </w:p>
        </w:tc>
      </w:tr>
      <w:tr w:rsidR="000312B0">
        <w:trPr>
          <w:trHeight w:val="391"/>
        </w:trPr>
        <w:tc>
          <w:tcPr>
            <w:tcW w:w="2907" w:type="dxa"/>
            <w:vAlign w:val="center"/>
          </w:tcPr>
          <w:p w:rsidR="000312B0" w:rsidRDefault="006C3825">
            <w:pPr>
              <w:widowControl/>
              <w:spacing w:line="520" w:lineRule="exact"/>
              <w:jc w:val="center"/>
              <w:rPr>
                <w:rFonts w:ascii="仿宋_GB2312" w:eastAsia="仿宋_GB2312" w:hAnsi="仿宋"/>
                <w:bCs/>
                <w:sz w:val="28"/>
                <w:szCs w:val="28"/>
              </w:rPr>
            </w:pPr>
            <w:r>
              <w:rPr>
                <w:rFonts w:ascii="仿宋_GB2312" w:eastAsia="仿宋_GB2312" w:hAnsi="仿宋"/>
                <w:bCs/>
                <w:sz w:val="28"/>
                <w:szCs w:val="28"/>
              </w:rPr>
              <w:t>密度三、四、五区</w:t>
            </w:r>
          </w:p>
        </w:tc>
        <w:tc>
          <w:tcPr>
            <w:tcW w:w="2710" w:type="dxa"/>
          </w:tcPr>
          <w:p w:rsidR="000312B0" w:rsidRDefault="006C3825">
            <w:pPr>
              <w:widowControl/>
              <w:spacing w:line="520" w:lineRule="exact"/>
              <w:jc w:val="center"/>
              <w:rPr>
                <w:rFonts w:ascii="仿宋_GB2312" w:eastAsia="仿宋_GB2312" w:hAnsi="仿宋"/>
                <w:bCs/>
                <w:sz w:val="28"/>
                <w:szCs w:val="28"/>
              </w:rPr>
            </w:pPr>
            <w:r>
              <w:rPr>
                <w:rFonts w:ascii="仿宋_GB2312" w:eastAsia="仿宋_GB2312" w:hAnsi="仿宋"/>
                <w:bCs/>
                <w:sz w:val="28"/>
                <w:szCs w:val="28"/>
              </w:rPr>
              <w:t>1.3</w:t>
            </w:r>
          </w:p>
        </w:tc>
        <w:tc>
          <w:tcPr>
            <w:tcW w:w="2712" w:type="dxa"/>
          </w:tcPr>
          <w:p w:rsidR="000312B0" w:rsidRDefault="006C3825">
            <w:pPr>
              <w:widowControl/>
              <w:spacing w:line="520" w:lineRule="exact"/>
              <w:jc w:val="center"/>
              <w:rPr>
                <w:rFonts w:ascii="仿宋_GB2312" w:eastAsia="仿宋_GB2312" w:hAnsi="仿宋"/>
                <w:bCs/>
                <w:sz w:val="28"/>
                <w:szCs w:val="28"/>
              </w:rPr>
            </w:pPr>
            <w:r>
              <w:rPr>
                <w:rFonts w:ascii="仿宋_GB2312" w:eastAsia="仿宋_GB2312" w:hAnsi="仿宋" w:hint="eastAsia"/>
                <w:bCs/>
                <w:sz w:val="28"/>
                <w:szCs w:val="28"/>
              </w:rPr>
              <w:t>0.8</w:t>
            </w:r>
          </w:p>
        </w:tc>
      </w:tr>
    </w:tbl>
    <w:p w:rsidR="000312B0" w:rsidRDefault="006C3825">
      <w:pPr>
        <w:spacing w:line="520" w:lineRule="exact"/>
        <w:ind w:firstLineChars="200" w:firstLine="643"/>
        <w:rPr>
          <w:rFonts w:ascii="仿宋_GB2312" w:eastAsia="仿宋_GB2312" w:hAnsi="仿宋"/>
          <w:bCs/>
          <w:sz w:val="32"/>
          <w:szCs w:val="32"/>
        </w:rPr>
      </w:pPr>
      <w:r>
        <w:rPr>
          <w:rFonts w:ascii="仿宋_GB2312" w:eastAsia="仿宋_GB2312" w:hAnsi="仿宋" w:hint="eastAsia"/>
          <w:b/>
          <w:bCs/>
          <w:sz w:val="32"/>
          <w:szCs w:val="32"/>
        </w:rPr>
        <w:t>十、</w:t>
      </w:r>
      <w:r>
        <w:rPr>
          <w:rFonts w:ascii="仿宋_GB2312" w:eastAsia="仿宋_GB2312" w:hAnsi="仿宋"/>
          <w:b/>
          <w:bCs/>
          <w:sz w:val="32"/>
          <w:szCs w:val="32"/>
        </w:rPr>
        <w:t>引导已批规划</w:t>
      </w:r>
      <w:r>
        <w:rPr>
          <w:rFonts w:ascii="仿宋_GB2312" w:eastAsia="仿宋_GB2312" w:hAnsi="仿宋" w:hint="eastAsia"/>
          <w:b/>
          <w:bCs/>
          <w:sz w:val="32"/>
          <w:szCs w:val="32"/>
        </w:rPr>
        <w:t>更新</w:t>
      </w:r>
      <w:r>
        <w:rPr>
          <w:rFonts w:ascii="仿宋_GB2312" w:eastAsia="仿宋_GB2312" w:hAnsi="仿宋"/>
          <w:b/>
          <w:bCs/>
          <w:sz w:val="32"/>
          <w:szCs w:val="32"/>
        </w:rPr>
        <w:t>项目建设住宅。</w:t>
      </w:r>
      <w:r>
        <w:rPr>
          <w:rFonts w:ascii="仿宋_GB2312" w:eastAsia="仿宋_GB2312" w:hAnsi="仿宋"/>
          <w:bCs/>
          <w:sz w:val="32"/>
          <w:szCs w:val="32"/>
        </w:rPr>
        <w:t>本措施施行前</w:t>
      </w:r>
      <w:r>
        <w:rPr>
          <w:rFonts w:ascii="仿宋_GB2312" w:eastAsia="仿宋_GB2312" w:hAnsi="仿宋" w:hint="eastAsia"/>
          <w:bCs/>
          <w:sz w:val="32"/>
          <w:szCs w:val="32"/>
        </w:rPr>
        <w:t>更新</w:t>
      </w:r>
      <w:r>
        <w:rPr>
          <w:rFonts w:ascii="仿宋_GB2312" w:eastAsia="仿宋_GB2312" w:hAnsi="仿宋"/>
          <w:bCs/>
          <w:sz w:val="32"/>
          <w:szCs w:val="32"/>
        </w:rPr>
        <w:t>单元规划已经批准但尚未签订土地使用权出让合同的城市更新项目（</w:t>
      </w:r>
      <w:r>
        <w:rPr>
          <w:rFonts w:ascii="仿宋_GB2312" w:eastAsia="仿宋_GB2312" w:hAnsi="仿宋" w:hint="eastAsia"/>
          <w:bCs/>
          <w:sz w:val="32"/>
          <w:szCs w:val="32"/>
        </w:rPr>
        <w:t>小地块城市更新项目除外</w:t>
      </w:r>
      <w:r>
        <w:rPr>
          <w:rFonts w:ascii="仿宋_GB2312" w:eastAsia="仿宋_GB2312" w:hAnsi="仿宋"/>
          <w:bCs/>
          <w:sz w:val="32"/>
          <w:szCs w:val="32"/>
        </w:rPr>
        <w:t>），可按以下规定增加住房供应：</w:t>
      </w:r>
    </w:p>
    <w:p w:rsidR="000312B0" w:rsidRDefault="006C3825">
      <w:pPr>
        <w:spacing w:line="520" w:lineRule="exact"/>
        <w:ind w:firstLineChars="200" w:firstLine="640"/>
        <w:rPr>
          <w:rFonts w:ascii="仿宋_GB2312" w:eastAsia="仿宋_GB2312" w:hAnsi="仿宋"/>
          <w:bCs/>
          <w:sz w:val="32"/>
          <w:szCs w:val="32"/>
        </w:rPr>
      </w:pPr>
      <w:r>
        <w:rPr>
          <w:rFonts w:ascii="仿宋_GB2312" w:eastAsia="仿宋_GB2312" w:hAnsi="仿宋"/>
          <w:bCs/>
          <w:sz w:val="32"/>
          <w:szCs w:val="32"/>
        </w:rPr>
        <w:t>（</w:t>
      </w:r>
      <w:r>
        <w:rPr>
          <w:rFonts w:ascii="仿宋_GB2312" w:eastAsia="仿宋_GB2312" w:hAnsi="仿宋" w:hint="eastAsia"/>
          <w:bCs/>
          <w:sz w:val="32"/>
          <w:szCs w:val="32"/>
        </w:rPr>
        <w:t>一）</w:t>
      </w:r>
      <w:r>
        <w:rPr>
          <w:rFonts w:ascii="仿宋_GB2312" w:eastAsia="仿宋_GB2312" w:hAnsi="仿宋"/>
          <w:bCs/>
          <w:sz w:val="32"/>
          <w:szCs w:val="32"/>
        </w:rPr>
        <w:t>在保持原批准规划容积不变的前提下，可将已批商业建筑面积全部或部分调整为出售的公共住房。</w:t>
      </w:r>
    </w:p>
    <w:p w:rsidR="000312B0" w:rsidRDefault="006C3825">
      <w:pPr>
        <w:spacing w:line="520" w:lineRule="exact"/>
        <w:ind w:firstLineChars="200" w:firstLine="640"/>
        <w:rPr>
          <w:rFonts w:ascii="仿宋_GB2312" w:eastAsia="仿宋_GB2312" w:hAnsi="仿宋"/>
          <w:bCs/>
          <w:i/>
          <w:sz w:val="32"/>
          <w:szCs w:val="32"/>
          <w:u w:val="single"/>
        </w:rPr>
      </w:pPr>
      <w:r>
        <w:rPr>
          <w:rFonts w:ascii="仿宋_GB2312" w:eastAsia="仿宋_GB2312" w:hAnsi="仿宋"/>
          <w:bCs/>
          <w:sz w:val="32"/>
          <w:szCs w:val="32"/>
        </w:rPr>
        <w:t>（</w:t>
      </w:r>
      <w:r>
        <w:rPr>
          <w:rFonts w:ascii="仿宋_GB2312" w:eastAsia="仿宋_GB2312" w:hAnsi="仿宋" w:hint="eastAsia"/>
          <w:bCs/>
          <w:sz w:val="32"/>
          <w:szCs w:val="32"/>
        </w:rPr>
        <w:t>二）</w:t>
      </w:r>
      <w:r>
        <w:rPr>
          <w:rFonts w:ascii="仿宋_GB2312" w:eastAsia="仿宋_GB2312" w:hAnsi="仿宋"/>
          <w:bCs/>
          <w:sz w:val="32"/>
          <w:szCs w:val="32"/>
        </w:rPr>
        <w:t>位于已建、在建及已纳入近期建设规划的轨道站点</w:t>
      </w:r>
      <w:r>
        <w:rPr>
          <w:rFonts w:ascii="仿宋_GB2312" w:eastAsia="仿宋_GB2312" w:hAnsi="仿宋"/>
          <w:bCs/>
          <w:sz w:val="32"/>
          <w:szCs w:val="32"/>
        </w:rPr>
        <w:t>500</w:t>
      </w:r>
      <w:r>
        <w:rPr>
          <w:rFonts w:ascii="仿宋_GB2312" w:eastAsia="仿宋_GB2312" w:hAnsi="仿宋"/>
          <w:bCs/>
          <w:sz w:val="32"/>
          <w:szCs w:val="32"/>
        </w:rPr>
        <w:t>米范围内的项目，可按规定修改规划（含项目原更新方向未包含居住功能的，可调整增加居住更新方向）增加住宅建筑面积，增加的住宅建筑面积全部用于建设出售的公共住房。</w:t>
      </w:r>
    </w:p>
    <w:p w:rsidR="000312B0" w:rsidRDefault="006C3825">
      <w:pPr>
        <w:spacing w:line="520" w:lineRule="exact"/>
        <w:ind w:firstLineChars="200" w:firstLine="640"/>
        <w:rPr>
          <w:rFonts w:ascii="仿宋_GB2312" w:eastAsia="仿宋_GB2312" w:hAnsi="仿宋"/>
          <w:bCs/>
          <w:sz w:val="32"/>
          <w:szCs w:val="32"/>
        </w:rPr>
      </w:pPr>
      <w:r>
        <w:rPr>
          <w:rFonts w:ascii="仿宋_GB2312" w:eastAsia="仿宋_GB2312" w:hAnsi="仿宋"/>
          <w:bCs/>
          <w:sz w:val="32"/>
          <w:szCs w:val="32"/>
        </w:rPr>
        <w:lastRenderedPageBreak/>
        <w:t>前款所述项目可同步开展城市更新单元计划调整和规划修改工作，申报主体（实施主体）申请修改更新单元规划前应按规定重新征集更新意愿，并完</w:t>
      </w:r>
      <w:r>
        <w:rPr>
          <w:rFonts w:ascii="仿宋_GB2312" w:eastAsia="仿宋_GB2312" w:hAnsi="仿宋" w:hint="eastAsia"/>
          <w:bCs/>
          <w:sz w:val="32"/>
          <w:szCs w:val="32"/>
        </w:rPr>
        <w:t>善</w:t>
      </w:r>
      <w:r>
        <w:rPr>
          <w:rFonts w:ascii="仿宋_GB2312" w:eastAsia="仿宋_GB2312" w:hAnsi="仿宋"/>
          <w:bCs/>
          <w:sz w:val="32"/>
          <w:szCs w:val="32"/>
        </w:rPr>
        <w:t>搬迁补偿协议签订、实施主体资格确认等事项。</w:t>
      </w:r>
    </w:p>
    <w:p w:rsidR="000312B0" w:rsidRDefault="006C3825">
      <w:pPr>
        <w:spacing w:line="520" w:lineRule="exact"/>
        <w:ind w:firstLine="643"/>
        <w:rPr>
          <w:rFonts w:ascii="仿宋_GB2312" w:eastAsia="仿宋_GB2312" w:hAnsi="仿宋"/>
          <w:bCs/>
          <w:sz w:val="32"/>
          <w:szCs w:val="32"/>
        </w:rPr>
      </w:pPr>
      <w:r>
        <w:rPr>
          <w:rFonts w:ascii="仿宋_GB2312" w:eastAsia="仿宋_GB2312" w:hAnsi="仿宋" w:hint="eastAsia"/>
          <w:b/>
          <w:bCs/>
          <w:sz w:val="32"/>
          <w:szCs w:val="32"/>
        </w:rPr>
        <w:t>十一、</w:t>
      </w:r>
      <w:r>
        <w:rPr>
          <w:rFonts w:ascii="仿宋_GB2312" w:eastAsia="仿宋_GB2312" w:hAnsi="仿宋"/>
          <w:b/>
          <w:bCs/>
          <w:sz w:val="32"/>
          <w:szCs w:val="32"/>
        </w:rPr>
        <w:t>加快推进城中村改造。</w:t>
      </w:r>
      <w:r>
        <w:rPr>
          <w:rFonts w:ascii="仿宋_GB2312" w:eastAsia="仿宋_GB2312" w:hAnsi="仿宋"/>
          <w:bCs/>
          <w:sz w:val="32"/>
          <w:szCs w:val="32"/>
        </w:rPr>
        <w:t>鼓励位于《深圳市城中村（旧村）综合整治总体规划（</w:t>
      </w:r>
      <w:r>
        <w:rPr>
          <w:rFonts w:ascii="仿宋_GB2312" w:eastAsia="仿宋_GB2312" w:hAnsi="仿宋"/>
          <w:bCs/>
          <w:sz w:val="32"/>
          <w:szCs w:val="32"/>
        </w:rPr>
        <w:t>2019-2025</w:t>
      </w:r>
      <w:r>
        <w:rPr>
          <w:rFonts w:ascii="仿宋_GB2312" w:eastAsia="仿宋_GB2312" w:hAnsi="仿宋"/>
          <w:bCs/>
          <w:sz w:val="32"/>
          <w:szCs w:val="32"/>
        </w:rPr>
        <w:t>）》综合整治分区的城中村实施综合整治</w:t>
      </w:r>
      <w:r>
        <w:rPr>
          <w:rFonts w:ascii="仿宋_GB2312" w:eastAsia="仿宋_GB2312" w:hAnsi="仿宋"/>
          <w:bCs/>
          <w:sz w:val="32"/>
          <w:szCs w:val="32"/>
        </w:rPr>
        <w:t>类城市更新并进行规模化租赁改造，纳入我市租赁市场进行规范管理。</w:t>
      </w:r>
    </w:p>
    <w:p w:rsidR="000312B0" w:rsidRDefault="006C3825">
      <w:pPr>
        <w:spacing w:line="520" w:lineRule="exact"/>
        <w:ind w:firstLineChars="200" w:firstLine="640"/>
        <w:rPr>
          <w:rFonts w:ascii="仿宋_GB2312" w:eastAsia="仿宋_GB2312" w:hAnsi="仿宋"/>
          <w:bCs/>
          <w:sz w:val="32"/>
          <w:szCs w:val="32"/>
        </w:rPr>
      </w:pPr>
      <w:r>
        <w:rPr>
          <w:rFonts w:ascii="仿宋_GB2312" w:eastAsia="仿宋_GB2312" w:hAnsi="仿宋"/>
          <w:bCs/>
          <w:sz w:val="32"/>
          <w:szCs w:val="32"/>
        </w:rPr>
        <w:t>加大综合整治分区之外的城中村改造力度。以现状居住用地为主的城中村改造项目申请拆除重建类城市更新单元计划的，其拆除范围内权属清晰的合法土地面积占拆除范围用地面积的比例（以下简称合法用地比例）应当不低于</w:t>
      </w:r>
      <w:r>
        <w:rPr>
          <w:rFonts w:ascii="仿宋_GB2312" w:eastAsia="仿宋_GB2312" w:hAnsi="仿宋"/>
          <w:bCs/>
          <w:sz w:val="32"/>
          <w:szCs w:val="32"/>
        </w:rPr>
        <w:t>60%</w:t>
      </w:r>
      <w:r>
        <w:rPr>
          <w:rFonts w:ascii="仿宋_GB2312" w:eastAsia="仿宋_GB2312" w:hAnsi="仿宋"/>
          <w:bCs/>
          <w:sz w:val="32"/>
          <w:szCs w:val="32"/>
        </w:rPr>
        <w:t>。合法用地比例不足</w:t>
      </w:r>
      <w:r>
        <w:rPr>
          <w:rFonts w:ascii="仿宋_GB2312" w:eastAsia="仿宋_GB2312" w:hAnsi="仿宋"/>
          <w:bCs/>
          <w:sz w:val="32"/>
          <w:szCs w:val="32"/>
        </w:rPr>
        <w:t>60%</w:t>
      </w:r>
      <w:r>
        <w:rPr>
          <w:rFonts w:ascii="仿宋_GB2312" w:eastAsia="仿宋_GB2312" w:hAnsi="仿宋"/>
          <w:bCs/>
          <w:sz w:val="32"/>
          <w:szCs w:val="32"/>
        </w:rPr>
        <w:t>但不低于</w:t>
      </w:r>
      <w:r>
        <w:rPr>
          <w:rFonts w:ascii="仿宋_GB2312" w:eastAsia="仿宋_GB2312" w:hAnsi="仿宋"/>
          <w:bCs/>
          <w:sz w:val="32"/>
          <w:szCs w:val="32"/>
        </w:rPr>
        <w:t>30%</w:t>
      </w:r>
      <w:r>
        <w:rPr>
          <w:rFonts w:ascii="仿宋_GB2312" w:eastAsia="仿宋_GB2312" w:hAnsi="仿宋"/>
          <w:bCs/>
          <w:sz w:val="32"/>
          <w:szCs w:val="32"/>
        </w:rPr>
        <w:t>的，拆除范围内的产业类和公共配套类历史违建可按规定申请简易处理，经简易处理的历史违建及其所在用地视为权属清晰的合法建筑及土地。除落实法定图则要求及教育设施等必要的公共利益用地外，城中村改造项目原则上不再无偿</w:t>
      </w:r>
      <w:r>
        <w:rPr>
          <w:rFonts w:ascii="仿宋_GB2312" w:eastAsia="仿宋_GB2312" w:hAnsi="仿宋"/>
          <w:bCs/>
          <w:sz w:val="32"/>
          <w:szCs w:val="32"/>
        </w:rPr>
        <w:t>移交其他类型用地。</w:t>
      </w:r>
    </w:p>
    <w:p w:rsidR="000312B0" w:rsidRDefault="006C3825">
      <w:pPr>
        <w:spacing w:line="520" w:lineRule="exact"/>
        <w:ind w:firstLine="640"/>
        <w:rPr>
          <w:rFonts w:ascii="仿宋_GB2312" w:eastAsia="仿宋_GB2312" w:hAnsi="仿宋"/>
          <w:bCs/>
          <w:sz w:val="32"/>
          <w:szCs w:val="32"/>
        </w:rPr>
      </w:pPr>
      <w:r>
        <w:rPr>
          <w:rFonts w:ascii="仿宋_GB2312" w:eastAsia="仿宋_GB2312" w:hAnsi="仿宋"/>
          <w:bCs/>
          <w:sz w:val="32"/>
          <w:szCs w:val="32"/>
        </w:rPr>
        <w:t>经批准列入城市更新单元计划的城中村改造项目（城中村、旧屋村合法用地占项目拆除范围用地的比例应不低于</w:t>
      </w:r>
      <w:r>
        <w:rPr>
          <w:rFonts w:ascii="仿宋_GB2312" w:eastAsia="仿宋_GB2312" w:hAnsi="仿宋"/>
          <w:bCs/>
          <w:sz w:val="32"/>
          <w:szCs w:val="32"/>
        </w:rPr>
        <w:t>50%</w:t>
      </w:r>
      <w:r>
        <w:rPr>
          <w:rFonts w:ascii="仿宋_GB2312" w:eastAsia="仿宋_GB2312" w:hAnsi="仿宋"/>
          <w:bCs/>
          <w:sz w:val="32"/>
          <w:szCs w:val="32"/>
        </w:rPr>
        <w:t>），</w:t>
      </w:r>
      <w:r>
        <w:rPr>
          <w:rFonts w:ascii="仿宋_GB2312" w:eastAsia="仿宋_GB2312" w:hAnsi="仿宋" w:hint="eastAsia"/>
          <w:bCs/>
          <w:sz w:val="32"/>
          <w:szCs w:val="32"/>
        </w:rPr>
        <w:t>在现行政策基础上</w:t>
      </w:r>
      <w:r>
        <w:rPr>
          <w:rFonts w:ascii="仿宋_GB2312" w:eastAsia="仿宋_GB2312" w:hAnsi="仿宋"/>
          <w:bCs/>
          <w:sz w:val="32"/>
          <w:szCs w:val="32"/>
        </w:rPr>
        <w:t>可综合考虑住房回迁、项目可实施性等因素，按照表</w:t>
      </w:r>
      <w:r>
        <w:rPr>
          <w:rFonts w:ascii="仿宋_GB2312" w:eastAsia="仿宋_GB2312" w:hAnsi="仿宋"/>
          <w:bCs/>
          <w:sz w:val="32"/>
          <w:szCs w:val="32"/>
        </w:rPr>
        <w:t>2</w:t>
      </w:r>
      <w:r>
        <w:rPr>
          <w:rFonts w:ascii="仿宋_GB2312" w:eastAsia="仿宋_GB2312" w:hAnsi="仿宋"/>
          <w:bCs/>
          <w:sz w:val="32"/>
          <w:szCs w:val="32"/>
        </w:rPr>
        <w:t>校核城市更新单元规划容积，且不需另行配建公共住房。</w:t>
      </w:r>
    </w:p>
    <w:p w:rsidR="000312B0" w:rsidRDefault="006C3825">
      <w:pPr>
        <w:spacing w:line="520" w:lineRule="exact"/>
        <w:jc w:val="center"/>
        <w:rPr>
          <w:rFonts w:ascii="仿宋_GB2312" w:eastAsia="仿宋_GB2312" w:hAnsi="仿宋"/>
          <w:bCs/>
          <w:sz w:val="32"/>
          <w:szCs w:val="32"/>
        </w:rPr>
      </w:pPr>
      <w:r>
        <w:rPr>
          <w:rFonts w:ascii="仿宋_GB2312" w:eastAsia="仿宋_GB2312" w:hAnsi="仿宋"/>
          <w:bCs/>
          <w:sz w:val="32"/>
          <w:szCs w:val="32"/>
        </w:rPr>
        <w:t>表</w:t>
      </w:r>
      <w:r>
        <w:rPr>
          <w:rFonts w:ascii="仿宋_GB2312" w:eastAsia="仿宋_GB2312" w:hAnsi="仿宋"/>
          <w:bCs/>
          <w:sz w:val="32"/>
          <w:szCs w:val="32"/>
        </w:rPr>
        <w:t>2</w:t>
      </w:r>
      <w:r>
        <w:rPr>
          <w:rFonts w:ascii="仿宋_GB2312" w:eastAsia="仿宋_GB2312" w:hAnsi="仿宋"/>
          <w:bCs/>
          <w:sz w:val="32"/>
          <w:szCs w:val="32"/>
        </w:rPr>
        <w:t>：城中村（旧屋村）城市更新净拆建比校核系数表</w:t>
      </w:r>
    </w:p>
    <w:tbl>
      <w:tblPr>
        <w:tblW w:w="83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5244"/>
      </w:tblGrid>
      <w:tr w:rsidR="000312B0">
        <w:trPr>
          <w:trHeight w:val="391"/>
        </w:trPr>
        <w:tc>
          <w:tcPr>
            <w:tcW w:w="3085" w:type="dxa"/>
            <w:tcBorders>
              <w:top w:val="single" w:sz="4" w:space="0" w:color="auto"/>
              <w:left w:val="single" w:sz="4" w:space="0" w:color="auto"/>
              <w:bottom w:val="single" w:sz="4" w:space="0" w:color="auto"/>
              <w:right w:val="single" w:sz="4" w:space="0" w:color="auto"/>
            </w:tcBorders>
            <w:vAlign w:val="center"/>
          </w:tcPr>
          <w:p w:rsidR="000312B0" w:rsidRDefault="006C3825">
            <w:pPr>
              <w:widowControl/>
              <w:spacing w:line="520" w:lineRule="exact"/>
              <w:jc w:val="center"/>
              <w:rPr>
                <w:rFonts w:ascii="仿宋_GB2312" w:eastAsia="仿宋_GB2312" w:hAnsi="仿宋"/>
                <w:bCs/>
                <w:sz w:val="28"/>
                <w:szCs w:val="28"/>
              </w:rPr>
            </w:pPr>
            <w:r>
              <w:rPr>
                <w:rFonts w:ascii="仿宋_GB2312" w:eastAsia="仿宋_GB2312" w:hAnsi="仿宋"/>
                <w:bCs/>
                <w:sz w:val="28"/>
                <w:szCs w:val="28"/>
              </w:rPr>
              <w:t>密度分区</w:t>
            </w:r>
          </w:p>
        </w:tc>
        <w:tc>
          <w:tcPr>
            <w:tcW w:w="5244" w:type="dxa"/>
            <w:tcBorders>
              <w:top w:val="single" w:sz="4" w:space="0" w:color="auto"/>
              <w:left w:val="single" w:sz="4" w:space="0" w:color="auto"/>
              <w:bottom w:val="single" w:sz="4" w:space="0" w:color="auto"/>
              <w:right w:val="single" w:sz="4" w:space="0" w:color="auto"/>
            </w:tcBorders>
            <w:vAlign w:val="center"/>
          </w:tcPr>
          <w:p w:rsidR="000312B0" w:rsidRDefault="006C3825">
            <w:pPr>
              <w:widowControl/>
              <w:spacing w:line="520" w:lineRule="exact"/>
              <w:jc w:val="center"/>
              <w:rPr>
                <w:rFonts w:ascii="仿宋_GB2312" w:eastAsia="仿宋_GB2312" w:hAnsi="仿宋"/>
                <w:bCs/>
                <w:sz w:val="28"/>
                <w:szCs w:val="28"/>
              </w:rPr>
            </w:pPr>
            <w:r>
              <w:rPr>
                <w:rFonts w:ascii="仿宋_GB2312" w:eastAsia="仿宋_GB2312" w:hAnsi="仿宋"/>
                <w:bCs/>
                <w:sz w:val="28"/>
                <w:szCs w:val="28"/>
              </w:rPr>
              <w:t>净拆建比系数</w:t>
            </w:r>
          </w:p>
        </w:tc>
      </w:tr>
      <w:tr w:rsidR="000312B0">
        <w:trPr>
          <w:trHeight w:val="391"/>
        </w:trPr>
        <w:tc>
          <w:tcPr>
            <w:tcW w:w="3085" w:type="dxa"/>
            <w:tcBorders>
              <w:top w:val="single" w:sz="4" w:space="0" w:color="auto"/>
              <w:left w:val="single" w:sz="4" w:space="0" w:color="auto"/>
              <w:bottom w:val="single" w:sz="4" w:space="0" w:color="auto"/>
              <w:right w:val="single" w:sz="4" w:space="0" w:color="auto"/>
            </w:tcBorders>
            <w:vAlign w:val="center"/>
          </w:tcPr>
          <w:p w:rsidR="000312B0" w:rsidRDefault="006C3825">
            <w:pPr>
              <w:widowControl/>
              <w:spacing w:line="520" w:lineRule="exact"/>
              <w:jc w:val="center"/>
              <w:rPr>
                <w:rFonts w:ascii="仿宋_GB2312" w:eastAsia="仿宋_GB2312" w:hAnsi="仿宋"/>
                <w:bCs/>
                <w:sz w:val="28"/>
                <w:szCs w:val="28"/>
              </w:rPr>
            </w:pPr>
            <w:r>
              <w:rPr>
                <w:rFonts w:ascii="仿宋_GB2312" w:eastAsia="仿宋_GB2312" w:hAnsi="仿宋"/>
                <w:bCs/>
                <w:sz w:val="28"/>
                <w:szCs w:val="28"/>
              </w:rPr>
              <w:t>密度一区</w:t>
            </w:r>
          </w:p>
        </w:tc>
        <w:tc>
          <w:tcPr>
            <w:tcW w:w="5244" w:type="dxa"/>
            <w:tcBorders>
              <w:top w:val="single" w:sz="4" w:space="0" w:color="auto"/>
              <w:left w:val="single" w:sz="4" w:space="0" w:color="auto"/>
              <w:bottom w:val="single" w:sz="4" w:space="0" w:color="auto"/>
              <w:right w:val="single" w:sz="4" w:space="0" w:color="auto"/>
            </w:tcBorders>
          </w:tcPr>
          <w:p w:rsidR="000312B0" w:rsidRDefault="006C3825">
            <w:pPr>
              <w:widowControl/>
              <w:spacing w:line="520" w:lineRule="exact"/>
              <w:jc w:val="center"/>
              <w:rPr>
                <w:rFonts w:ascii="仿宋_GB2312" w:eastAsia="仿宋_GB2312" w:hAnsi="仿宋"/>
                <w:bCs/>
                <w:sz w:val="28"/>
                <w:szCs w:val="28"/>
              </w:rPr>
            </w:pPr>
            <w:r>
              <w:rPr>
                <w:rFonts w:ascii="仿宋_GB2312" w:eastAsia="仿宋_GB2312" w:hAnsi="仿宋"/>
                <w:bCs/>
                <w:sz w:val="28"/>
                <w:szCs w:val="28"/>
              </w:rPr>
              <w:t>1.8</w:t>
            </w:r>
          </w:p>
        </w:tc>
      </w:tr>
      <w:tr w:rsidR="000312B0">
        <w:trPr>
          <w:trHeight w:val="368"/>
        </w:trPr>
        <w:tc>
          <w:tcPr>
            <w:tcW w:w="3085" w:type="dxa"/>
            <w:tcBorders>
              <w:top w:val="single" w:sz="4" w:space="0" w:color="auto"/>
              <w:left w:val="single" w:sz="4" w:space="0" w:color="auto"/>
              <w:bottom w:val="single" w:sz="4" w:space="0" w:color="auto"/>
              <w:right w:val="single" w:sz="4" w:space="0" w:color="auto"/>
            </w:tcBorders>
            <w:vAlign w:val="center"/>
          </w:tcPr>
          <w:p w:rsidR="000312B0" w:rsidRDefault="006C3825">
            <w:pPr>
              <w:widowControl/>
              <w:spacing w:line="520" w:lineRule="exact"/>
              <w:jc w:val="center"/>
              <w:rPr>
                <w:rFonts w:ascii="仿宋_GB2312" w:eastAsia="仿宋_GB2312" w:hAnsi="仿宋"/>
                <w:bCs/>
                <w:sz w:val="28"/>
                <w:szCs w:val="28"/>
              </w:rPr>
            </w:pPr>
            <w:r>
              <w:rPr>
                <w:rFonts w:ascii="仿宋_GB2312" w:eastAsia="仿宋_GB2312" w:hAnsi="仿宋"/>
                <w:bCs/>
                <w:sz w:val="28"/>
                <w:szCs w:val="28"/>
              </w:rPr>
              <w:t>密度二区</w:t>
            </w:r>
          </w:p>
        </w:tc>
        <w:tc>
          <w:tcPr>
            <w:tcW w:w="5244" w:type="dxa"/>
            <w:tcBorders>
              <w:top w:val="single" w:sz="4" w:space="0" w:color="auto"/>
              <w:left w:val="single" w:sz="4" w:space="0" w:color="auto"/>
              <w:bottom w:val="single" w:sz="4" w:space="0" w:color="auto"/>
              <w:right w:val="single" w:sz="4" w:space="0" w:color="auto"/>
            </w:tcBorders>
          </w:tcPr>
          <w:p w:rsidR="000312B0" w:rsidRDefault="006C3825">
            <w:pPr>
              <w:widowControl/>
              <w:spacing w:line="520" w:lineRule="exact"/>
              <w:jc w:val="center"/>
              <w:rPr>
                <w:rFonts w:ascii="仿宋_GB2312" w:eastAsia="仿宋_GB2312" w:hAnsi="仿宋"/>
                <w:bCs/>
                <w:sz w:val="28"/>
                <w:szCs w:val="28"/>
              </w:rPr>
            </w:pPr>
            <w:r>
              <w:rPr>
                <w:rFonts w:ascii="仿宋_GB2312" w:eastAsia="仿宋_GB2312" w:hAnsi="仿宋"/>
                <w:bCs/>
                <w:sz w:val="28"/>
                <w:szCs w:val="28"/>
              </w:rPr>
              <w:t>1.9</w:t>
            </w:r>
          </w:p>
        </w:tc>
      </w:tr>
      <w:tr w:rsidR="000312B0">
        <w:trPr>
          <w:trHeight w:val="391"/>
        </w:trPr>
        <w:tc>
          <w:tcPr>
            <w:tcW w:w="3085" w:type="dxa"/>
            <w:tcBorders>
              <w:top w:val="single" w:sz="4" w:space="0" w:color="auto"/>
              <w:left w:val="single" w:sz="4" w:space="0" w:color="auto"/>
              <w:bottom w:val="single" w:sz="4" w:space="0" w:color="auto"/>
              <w:right w:val="single" w:sz="4" w:space="0" w:color="auto"/>
            </w:tcBorders>
            <w:vAlign w:val="center"/>
          </w:tcPr>
          <w:p w:rsidR="000312B0" w:rsidRDefault="006C3825">
            <w:pPr>
              <w:widowControl/>
              <w:spacing w:line="520" w:lineRule="exact"/>
              <w:jc w:val="center"/>
              <w:rPr>
                <w:rFonts w:ascii="仿宋_GB2312" w:eastAsia="仿宋_GB2312" w:hAnsi="仿宋"/>
                <w:bCs/>
                <w:sz w:val="28"/>
                <w:szCs w:val="28"/>
              </w:rPr>
            </w:pPr>
            <w:r>
              <w:rPr>
                <w:rFonts w:ascii="仿宋_GB2312" w:eastAsia="仿宋_GB2312" w:hAnsi="仿宋"/>
                <w:bCs/>
                <w:sz w:val="28"/>
                <w:szCs w:val="28"/>
              </w:rPr>
              <w:lastRenderedPageBreak/>
              <w:t>密度三、四、五区</w:t>
            </w:r>
          </w:p>
        </w:tc>
        <w:tc>
          <w:tcPr>
            <w:tcW w:w="5244" w:type="dxa"/>
            <w:tcBorders>
              <w:top w:val="single" w:sz="4" w:space="0" w:color="auto"/>
              <w:left w:val="single" w:sz="4" w:space="0" w:color="auto"/>
              <w:bottom w:val="single" w:sz="4" w:space="0" w:color="auto"/>
              <w:right w:val="single" w:sz="4" w:space="0" w:color="auto"/>
            </w:tcBorders>
          </w:tcPr>
          <w:p w:rsidR="000312B0" w:rsidRDefault="006C3825">
            <w:pPr>
              <w:widowControl/>
              <w:spacing w:line="520" w:lineRule="exact"/>
              <w:jc w:val="center"/>
              <w:rPr>
                <w:rFonts w:ascii="仿宋_GB2312" w:eastAsia="仿宋_GB2312" w:hAnsi="仿宋"/>
                <w:bCs/>
                <w:sz w:val="28"/>
                <w:szCs w:val="28"/>
              </w:rPr>
            </w:pPr>
            <w:r>
              <w:rPr>
                <w:rFonts w:ascii="仿宋_GB2312" w:eastAsia="仿宋_GB2312" w:hAnsi="仿宋"/>
                <w:bCs/>
                <w:sz w:val="28"/>
                <w:szCs w:val="28"/>
              </w:rPr>
              <w:t>2.0</w:t>
            </w:r>
          </w:p>
        </w:tc>
      </w:tr>
    </w:tbl>
    <w:p w:rsidR="000312B0" w:rsidRDefault="006C3825">
      <w:pPr>
        <w:spacing w:line="520" w:lineRule="exact"/>
        <w:rPr>
          <w:rFonts w:ascii="仿宋_GB2312" w:eastAsia="仿宋_GB2312" w:hAnsi="仿宋"/>
          <w:bCs/>
          <w:sz w:val="32"/>
          <w:szCs w:val="32"/>
        </w:rPr>
      </w:pPr>
      <w:r>
        <w:rPr>
          <w:rFonts w:ascii="仿宋_GB2312" w:eastAsia="仿宋_GB2312" w:hAnsi="仿宋"/>
          <w:bCs/>
          <w:sz w:val="24"/>
          <w:szCs w:val="32"/>
        </w:rPr>
        <w:t>注：现状建筑面积以深圳市地籍测绘大队直接出具或审核的测绘查丈报告为准</w:t>
      </w:r>
    </w:p>
    <w:p w:rsidR="000312B0" w:rsidRDefault="006C3825">
      <w:pPr>
        <w:spacing w:line="520" w:lineRule="exact"/>
        <w:ind w:firstLine="640"/>
        <w:rPr>
          <w:rFonts w:ascii="仿宋_GB2312" w:eastAsia="仿宋_GB2312" w:hAnsi="仿宋"/>
          <w:bCs/>
          <w:sz w:val="32"/>
          <w:szCs w:val="32"/>
        </w:rPr>
      </w:pPr>
      <w:r>
        <w:rPr>
          <w:rFonts w:ascii="仿宋_GB2312" w:eastAsia="仿宋_GB2312" w:hAnsi="仿宋"/>
          <w:bCs/>
          <w:sz w:val="32"/>
          <w:szCs w:val="32"/>
        </w:rPr>
        <w:t>现状容积率超过</w:t>
      </w:r>
      <w:r>
        <w:rPr>
          <w:rFonts w:ascii="仿宋_GB2312" w:eastAsia="仿宋_GB2312" w:hAnsi="仿宋"/>
          <w:bCs/>
          <w:sz w:val="32"/>
          <w:szCs w:val="32"/>
        </w:rPr>
        <w:t>2.5</w:t>
      </w:r>
      <w:r>
        <w:rPr>
          <w:rFonts w:ascii="仿宋_GB2312" w:eastAsia="仿宋_GB2312" w:hAnsi="仿宋"/>
          <w:bCs/>
          <w:sz w:val="32"/>
          <w:szCs w:val="32"/>
        </w:rPr>
        <w:t>的城中村改造项目，按本规定进行净拆建比校核的，在核算拆除建筑面积时，其容积率</w:t>
      </w:r>
      <w:r>
        <w:rPr>
          <w:rFonts w:ascii="仿宋_GB2312" w:eastAsia="仿宋_GB2312" w:hAnsi="仿宋"/>
          <w:bCs/>
          <w:sz w:val="32"/>
          <w:szCs w:val="32"/>
        </w:rPr>
        <w:t>2.5</w:t>
      </w:r>
      <w:r>
        <w:rPr>
          <w:rFonts w:ascii="仿宋_GB2312" w:eastAsia="仿宋_GB2312" w:hAnsi="仿宋"/>
          <w:bCs/>
          <w:sz w:val="32"/>
          <w:szCs w:val="32"/>
        </w:rPr>
        <w:t>以内的现状建筑面积全部计入拆除建筑面积，容积率</w:t>
      </w:r>
      <w:r>
        <w:rPr>
          <w:rFonts w:ascii="仿宋_GB2312" w:eastAsia="仿宋_GB2312" w:hAnsi="仿宋"/>
          <w:bCs/>
          <w:sz w:val="32"/>
          <w:szCs w:val="32"/>
        </w:rPr>
        <w:t>2.5</w:t>
      </w:r>
      <w:r>
        <w:rPr>
          <w:rFonts w:ascii="仿宋_GB2312" w:eastAsia="仿宋_GB2312" w:hAnsi="仿宋"/>
          <w:bCs/>
          <w:sz w:val="32"/>
          <w:szCs w:val="32"/>
        </w:rPr>
        <w:t>至</w:t>
      </w:r>
      <w:r>
        <w:rPr>
          <w:rFonts w:ascii="仿宋_GB2312" w:eastAsia="仿宋_GB2312" w:hAnsi="仿宋"/>
          <w:bCs/>
          <w:sz w:val="32"/>
          <w:szCs w:val="32"/>
        </w:rPr>
        <w:t>3.0</w:t>
      </w:r>
      <w:r>
        <w:rPr>
          <w:rFonts w:ascii="仿宋_GB2312" w:eastAsia="仿宋_GB2312" w:hAnsi="仿宋"/>
          <w:bCs/>
          <w:sz w:val="32"/>
          <w:szCs w:val="32"/>
        </w:rPr>
        <w:t>的部分按照</w:t>
      </w:r>
      <w:r>
        <w:rPr>
          <w:rFonts w:ascii="仿宋_GB2312" w:eastAsia="仿宋_GB2312" w:hAnsi="仿宋"/>
          <w:bCs/>
          <w:sz w:val="32"/>
          <w:szCs w:val="32"/>
        </w:rPr>
        <w:t>50%</w:t>
      </w:r>
      <w:r>
        <w:rPr>
          <w:rFonts w:ascii="仿宋_GB2312" w:eastAsia="仿宋_GB2312" w:hAnsi="仿宋"/>
          <w:bCs/>
          <w:sz w:val="32"/>
          <w:szCs w:val="32"/>
        </w:rPr>
        <w:t>计入拆除建筑面积，容积率超出</w:t>
      </w:r>
      <w:r>
        <w:rPr>
          <w:rFonts w:ascii="仿宋_GB2312" w:eastAsia="仿宋_GB2312" w:hAnsi="仿宋"/>
          <w:bCs/>
          <w:sz w:val="32"/>
          <w:szCs w:val="32"/>
        </w:rPr>
        <w:t>3.0</w:t>
      </w:r>
      <w:r>
        <w:rPr>
          <w:rFonts w:ascii="仿宋_GB2312" w:eastAsia="仿宋_GB2312" w:hAnsi="仿宋"/>
          <w:bCs/>
          <w:sz w:val="32"/>
          <w:szCs w:val="32"/>
        </w:rPr>
        <w:t>的部分不计入拆除建筑面积。</w:t>
      </w:r>
    </w:p>
    <w:p w:rsidR="000312B0" w:rsidRDefault="006C3825">
      <w:pPr>
        <w:numPr>
          <w:ilvl w:val="255"/>
          <w:numId w:val="0"/>
        </w:numPr>
        <w:spacing w:line="560" w:lineRule="exact"/>
        <w:ind w:firstLine="640"/>
        <w:rPr>
          <w:rFonts w:ascii="仿宋_GB2312" w:eastAsia="仿宋_GB2312" w:hAnsi="仿宋"/>
          <w:bCs/>
          <w:sz w:val="32"/>
          <w:szCs w:val="32"/>
        </w:rPr>
      </w:pPr>
      <w:r>
        <w:rPr>
          <w:rFonts w:ascii="楷体_GB2312" w:eastAsia="楷体_GB2312" w:hAnsi="楷体_GB2312" w:cs="楷体_GB2312" w:hint="eastAsia"/>
          <w:b/>
          <w:bCs/>
          <w:sz w:val="32"/>
          <w:szCs w:val="32"/>
        </w:rPr>
        <w:t>十二、加大旧住宅区拆除改造力度。</w:t>
      </w:r>
      <w:r>
        <w:rPr>
          <w:rFonts w:ascii="仿宋_GB2312" w:eastAsia="仿宋_GB2312" w:hAnsi="仿宋" w:hint="eastAsia"/>
          <w:bCs/>
          <w:sz w:val="32"/>
          <w:szCs w:val="32"/>
        </w:rPr>
        <w:t>鼓励符合条件的旧住宅区成片统筹改造。坚持政府主导，市场参与的原则，完善我市旧住宅区拆除改造政策，允许在新增居住建筑面积中安排一定比例的商品住房，在政府负责完成搬迁安置谈判、规划编制等前期工作后，公开挂牌选择市场主体。</w:t>
      </w:r>
    </w:p>
    <w:p w:rsidR="000312B0" w:rsidRDefault="006C3825">
      <w:pPr>
        <w:numPr>
          <w:ilvl w:val="255"/>
          <w:numId w:val="0"/>
        </w:numPr>
        <w:spacing w:line="560" w:lineRule="exact"/>
        <w:ind w:firstLine="640"/>
        <w:rPr>
          <w:rFonts w:ascii="仿宋_GB2312" w:eastAsia="仿宋_GB2312" w:hAnsi="仿宋"/>
          <w:bCs/>
          <w:sz w:val="32"/>
          <w:szCs w:val="32"/>
        </w:rPr>
      </w:pPr>
      <w:r>
        <w:rPr>
          <w:rFonts w:ascii="楷体_GB2312" w:eastAsia="楷体_GB2312" w:hAnsi="楷体_GB2312" w:cs="楷体_GB2312" w:hint="eastAsia"/>
          <w:b/>
          <w:bCs/>
          <w:sz w:val="32"/>
          <w:szCs w:val="32"/>
        </w:rPr>
        <w:t>十三、着力释放存量用房</w:t>
      </w:r>
      <w:r>
        <w:rPr>
          <w:rFonts w:ascii="楷体_GB2312" w:eastAsia="楷体_GB2312" w:hAnsi="楷体_GB2312" w:cs="楷体_GB2312" w:hint="eastAsia"/>
          <w:b/>
          <w:bCs/>
          <w:sz w:val="32"/>
          <w:szCs w:val="32"/>
        </w:rPr>
        <w:t>潜力。</w:t>
      </w:r>
      <w:r>
        <w:rPr>
          <w:rFonts w:ascii="仿宋_GB2312" w:eastAsia="仿宋_GB2312" w:hAnsi="仿宋" w:hint="eastAsia"/>
          <w:bCs/>
          <w:sz w:val="32"/>
          <w:szCs w:val="32"/>
        </w:rPr>
        <w:t>探索企事业单位持有的自有住房（不包括政策性住房及全年期自持的租赁商品住房）建成后</w:t>
      </w:r>
      <w:r>
        <w:rPr>
          <w:rFonts w:ascii="仿宋_GB2312" w:eastAsia="仿宋_GB2312" w:hAnsi="仿宋"/>
          <w:bCs/>
          <w:sz w:val="32"/>
          <w:szCs w:val="32"/>
        </w:rPr>
        <w:t>补缴地价转为公共住房或市场商品住房</w:t>
      </w:r>
      <w:r>
        <w:rPr>
          <w:rFonts w:ascii="仿宋_GB2312" w:eastAsia="仿宋_GB2312" w:hAnsi="仿宋" w:hint="eastAsia"/>
          <w:bCs/>
          <w:sz w:val="32"/>
          <w:szCs w:val="32"/>
        </w:rPr>
        <w:t>。</w:t>
      </w:r>
    </w:p>
    <w:p w:rsidR="000312B0" w:rsidRDefault="006C3825">
      <w:pPr>
        <w:numPr>
          <w:ilvl w:val="255"/>
          <w:numId w:val="0"/>
        </w:numPr>
        <w:ind w:firstLine="640"/>
        <w:rPr>
          <w:rFonts w:ascii="仿宋_GB2312" w:eastAsia="仿宋_GB2312" w:hAnsi="仿宋"/>
          <w:bCs/>
          <w:sz w:val="32"/>
          <w:szCs w:val="32"/>
        </w:rPr>
      </w:pPr>
      <w:r>
        <w:rPr>
          <w:rFonts w:ascii="楷体_GB2312" w:eastAsia="楷体_GB2312" w:hAnsi="楷体_GB2312" w:cs="楷体_GB2312" w:hint="eastAsia"/>
          <w:b/>
          <w:bCs/>
          <w:sz w:val="32"/>
          <w:szCs w:val="32"/>
        </w:rPr>
        <w:t>十四、加强组织保障。</w:t>
      </w:r>
      <w:r>
        <w:rPr>
          <w:rFonts w:ascii="仿宋_GB2312" w:eastAsia="仿宋_GB2312" w:hAnsi="仿宋" w:hint="eastAsia"/>
          <w:bCs/>
          <w:sz w:val="32"/>
          <w:szCs w:val="32"/>
        </w:rPr>
        <w:t>建立居住用地供应目标责任制，定期对各区、各部门工作完成情况进行考核，督促各区各部门切实将各项工作落实落细。市规划和自然资源部门应做好居住用地的规划统筹、用地供应等工作。市住房建设部门应统筹做好房地产市场管理、住房建设和旧住宅区改造各项工作。各区政府作为居住用地供应的责任主体，应加强工作组织协调，按照计划做好辖区居住用地整备、供应等工作。</w:t>
      </w:r>
    </w:p>
    <w:p w:rsidR="000312B0" w:rsidRDefault="006C3825">
      <w:pPr>
        <w:numPr>
          <w:ilvl w:val="255"/>
          <w:numId w:val="0"/>
        </w:numPr>
        <w:ind w:firstLine="640"/>
        <w:rPr>
          <w:rFonts w:ascii="仿宋_GB2312" w:eastAsia="仿宋_GB2312" w:hAnsi="仿宋"/>
          <w:bCs/>
          <w:sz w:val="32"/>
          <w:szCs w:val="32"/>
        </w:rPr>
      </w:pPr>
      <w:r>
        <w:rPr>
          <w:rFonts w:ascii="仿宋_GB2312" w:eastAsia="仿宋_GB2312" w:hAnsi="仿宋" w:hint="eastAsia"/>
          <w:b/>
          <w:sz w:val="32"/>
          <w:szCs w:val="32"/>
        </w:rPr>
        <w:t>十五、</w:t>
      </w:r>
      <w:r>
        <w:rPr>
          <w:rFonts w:ascii="仿宋_GB2312" w:eastAsia="仿宋_GB2312" w:hAnsi="仿宋" w:hint="eastAsia"/>
          <w:bCs/>
          <w:sz w:val="32"/>
          <w:szCs w:val="32"/>
        </w:rPr>
        <w:t>本措施自×年×月×日起</w:t>
      </w:r>
      <w:r>
        <w:rPr>
          <w:rFonts w:ascii="仿宋_GB2312" w:eastAsia="仿宋_GB2312" w:hAnsi="仿宋" w:hint="eastAsia"/>
          <w:bCs/>
          <w:sz w:val="32"/>
          <w:szCs w:val="32"/>
        </w:rPr>
        <w:t>实施，有效期五年。本措施施行前规划已经市规划部门和各区（新区）审议通过或</w:t>
      </w:r>
      <w:r>
        <w:rPr>
          <w:rFonts w:ascii="仿宋_GB2312" w:eastAsia="仿宋_GB2312" w:hAnsi="仿宋" w:hint="eastAsia"/>
          <w:bCs/>
          <w:sz w:val="32"/>
          <w:szCs w:val="32"/>
        </w:rPr>
        <w:lastRenderedPageBreak/>
        <w:t>建设用地规划许可已经市规划部门派出机构审批通过的项目不适用第三、第十一条规定。</w:t>
      </w:r>
    </w:p>
    <w:sectPr w:rsidR="000312B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3825" w:rsidRDefault="006C3825">
      <w:r>
        <w:separator/>
      </w:r>
    </w:p>
  </w:endnote>
  <w:endnote w:type="continuationSeparator" w:id="0">
    <w:p w:rsidR="006C3825" w:rsidRDefault="006C38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4471534"/>
    </w:sdtPr>
    <w:sdtEndPr/>
    <w:sdtContent>
      <w:sdt>
        <w:sdtPr>
          <w:id w:val="-1669238322"/>
        </w:sdtPr>
        <w:sdtEndPr/>
        <w:sdtContent>
          <w:p w:rsidR="000312B0" w:rsidRDefault="006C3825">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291F4D">
              <w:rPr>
                <w:b/>
                <w:bCs/>
                <w:noProof/>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291F4D">
              <w:rPr>
                <w:b/>
                <w:bCs/>
                <w:noProof/>
              </w:rPr>
              <w:t>8</w:t>
            </w:r>
            <w:r>
              <w:rPr>
                <w:b/>
                <w:bCs/>
                <w:sz w:val="24"/>
                <w:szCs w:val="24"/>
              </w:rPr>
              <w:fldChar w:fldCharType="end"/>
            </w:r>
          </w:p>
        </w:sdtContent>
      </w:sdt>
    </w:sdtContent>
  </w:sdt>
  <w:p w:rsidR="000312B0" w:rsidRDefault="000312B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3825" w:rsidRDefault="006C3825">
      <w:r>
        <w:separator/>
      </w:r>
    </w:p>
  </w:footnote>
  <w:footnote w:type="continuationSeparator" w:id="0">
    <w:p w:rsidR="006C3825" w:rsidRDefault="006C38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FD203A"/>
    <w:rsid w:val="00001627"/>
    <w:rsid w:val="000233FA"/>
    <w:rsid w:val="00030CBE"/>
    <w:rsid w:val="000312B0"/>
    <w:rsid w:val="0003463E"/>
    <w:rsid w:val="00052B18"/>
    <w:rsid w:val="0005759D"/>
    <w:rsid w:val="0006088A"/>
    <w:rsid w:val="00075FC2"/>
    <w:rsid w:val="00081CAB"/>
    <w:rsid w:val="00085F77"/>
    <w:rsid w:val="000953D2"/>
    <w:rsid w:val="00095CB2"/>
    <w:rsid w:val="0009618B"/>
    <w:rsid w:val="000A30FF"/>
    <w:rsid w:val="000B6D6A"/>
    <w:rsid w:val="000C3089"/>
    <w:rsid w:val="000C321B"/>
    <w:rsid w:val="000D15CA"/>
    <w:rsid w:val="000D7AB4"/>
    <w:rsid w:val="000E1415"/>
    <w:rsid w:val="000E5B22"/>
    <w:rsid w:val="000E5C28"/>
    <w:rsid w:val="000F0C85"/>
    <w:rsid w:val="00101EBD"/>
    <w:rsid w:val="00112372"/>
    <w:rsid w:val="001142E3"/>
    <w:rsid w:val="00116968"/>
    <w:rsid w:val="00120971"/>
    <w:rsid w:val="00134463"/>
    <w:rsid w:val="001352F5"/>
    <w:rsid w:val="0014219A"/>
    <w:rsid w:val="00147091"/>
    <w:rsid w:val="00151B01"/>
    <w:rsid w:val="001541D3"/>
    <w:rsid w:val="00154372"/>
    <w:rsid w:val="00154D58"/>
    <w:rsid w:val="001611C3"/>
    <w:rsid w:val="00182150"/>
    <w:rsid w:val="00183742"/>
    <w:rsid w:val="00183902"/>
    <w:rsid w:val="00193323"/>
    <w:rsid w:val="00195451"/>
    <w:rsid w:val="001B016D"/>
    <w:rsid w:val="001B3EC0"/>
    <w:rsid w:val="001C029A"/>
    <w:rsid w:val="001C73F8"/>
    <w:rsid w:val="001D1F85"/>
    <w:rsid w:val="001D3DDA"/>
    <w:rsid w:val="001F11F4"/>
    <w:rsid w:val="00203629"/>
    <w:rsid w:val="00203E39"/>
    <w:rsid w:val="002122AC"/>
    <w:rsid w:val="0021352F"/>
    <w:rsid w:val="002220BC"/>
    <w:rsid w:val="002417A2"/>
    <w:rsid w:val="0025038D"/>
    <w:rsid w:val="00255BDB"/>
    <w:rsid w:val="00260934"/>
    <w:rsid w:val="00265FC2"/>
    <w:rsid w:val="002819E7"/>
    <w:rsid w:val="00291F4D"/>
    <w:rsid w:val="002924F0"/>
    <w:rsid w:val="002A556B"/>
    <w:rsid w:val="002B5EDB"/>
    <w:rsid w:val="002B76D7"/>
    <w:rsid w:val="002D4276"/>
    <w:rsid w:val="002D4681"/>
    <w:rsid w:val="002D720B"/>
    <w:rsid w:val="002E2511"/>
    <w:rsid w:val="00306D29"/>
    <w:rsid w:val="00310E54"/>
    <w:rsid w:val="003203DD"/>
    <w:rsid w:val="00321510"/>
    <w:rsid w:val="00333798"/>
    <w:rsid w:val="00335604"/>
    <w:rsid w:val="003579CC"/>
    <w:rsid w:val="00362944"/>
    <w:rsid w:val="00362CE1"/>
    <w:rsid w:val="00363BD4"/>
    <w:rsid w:val="0038261F"/>
    <w:rsid w:val="00395128"/>
    <w:rsid w:val="00396C87"/>
    <w:rsid w:val="0039773F"/>
    <w:rsid w:val="003A45FE"/>
    <w:rsid w:val="003B0BFE"/>
    <w:rsid w:val="003B460A"/>
    <w:rsid w:val="003B5697"/>
    <w:rsid w:val="003D0701"/>
    <w:rsid w:val="003D1D07"/>
    <w:rsid w:val="003D3BB7"/>
    <w:rsid w:val="003D6C13"/>
    <w:rsid w:val="003E67FB"/>
    <w:rsid w:val="003F619C"/>
    <w:rsid w:val="004009EC"/>
    <w:rsid w:val="004026E2"/>
    <w:rsid w:val="00404699"/>
    <w:rsid w:val="00404AAA"/>
    <w:rsid w:val="00434946"/>
    <w:rsid w:val="00436034"/>
    <w:rsid w:val="00441ABA"/>
    <w:rsid w:val="0046255D"/>
    <w:rsid w:val="00467C2A"/>
    <w:rsid w:val="00474173"/>
    <w:rsid w:val="0049194A"/>
    <w:rsid w:val="00491DBB"/>
    <w:rsid w:val="00492820"/>
    <w:rsid w:val="004976F8"/>
    <w:rsid w:val="004A14B2"/>
    <w:rsid w:val="004B1B8D"/>
    <w:rsid w:val="004B21A3"/>
    <w:rsid w:val="004B469F"/>
    <w:rsid w:val="004B4922"/>
    <w:rsid w:val="004B5F52"/>
    <w:rsid w:val="004C29FE"/>
    <w:rsid w:val="004C2ADE"/>
    <w:rsid w:val="004D306A"/>
    <w:rsid w:val="004E0362"/>
    <w:rsid w:val="004E4C62"/>
    <w:rsid w:val="004F005A"/>
    <w:rsid w:val="004F0146"/>
    <w:rsid w:val="005014CE"/>
    <w:rsid w:val="0051022F"/>
    <w:rsid w:val="00515E00"/>
    <w:rsid w:val="00516DE0"/>
    <w:rsid w:val="00521EE0"/>
    <w:rsid w:val="00525D02"/>
    <w:rsid w:val="005303A8"/>
    <w:rsid w:val="005353BD"/>
    <w:rsid w:val="00536BB0"/>
    <w:rsid w:val="005770F7"/>
    <w:rsid w:val="005823FF"/>
    <w:rsid w:val="00592CB1"/>
    <w:rsid w:val="0059320B"/>
    <w:rsid w:val="005A0244"/>
    <w:rsid w:val="005A53BB"/>
    <w:rsid w:val="005B57FC"/>
    <w:rsid w:val="005C2BEF"/>
    <w:rsid w:val="005D1366"/>
    <w:rsid w:val="005D629F"/>
    <w:rsid w:val="005D6436"/>
    <w:rsid w:val="005E0777"/>
    <w:rsid w:val="005E1975"/>
    <w:rsid w:val="005F72A4"/>
    <w:rsid w:val="0060047B"/>
    <w:rsid w:val="00602D0C"/>
    <w:rsid w:val="00612F1B"/>
    <w:rsid w:val="00620DF8"/>
    <w:rsid w:val="006256E7"/>
    <w:rsid w:val="00631560"/>
    <w:rsid w:val="0064070F"/>
    <w:rsid w:val="006413C9"/>
    <w:rsid w:val="006442A6"/>
    <w:rsid w:val="0064518D"/>
    <w:rsid w:val="00660398"/>
    <w:rsid w:val="00666A33"/>
    <w:rsid w:val="006716F0"/>
    <w:rsid w:val="00676FCE"/>
    <w:rsid w:val="006A07B5"/>
    <w:rsid w:val="006A7FDE"/>
    <w:rsid w:val="006C3825"/>
    <w:rsid w:val="006C78DC"/>
    <w:rsid w:val="006D07AC"/>
    <w:rsid w:val="006D5919"/>
    <w:rsid w:val="006E70D0"/>
    <w:rsid w:val="006F46D6"/>
    <w:rsid w:val="006F4B3F"/>
    <w:rsid w:val="00711478"/>
    <w:rsid w:val="007216B8"/>
    <w:rsid w:val="00725EAD"/>
    <w:rsid w:val="00726041"/>
    <w:rsid w:val="00731162"/>
    <w:rsid w:val="00735A92"/>
    <w:rsid w:val="0075077F"/>
    <w:rsid w:val="00753106"/>
    <w:rsid w:val="00754C61"/>
    <w:rsid w:val="007556B5"/>
    <w:rsid w:val="00757C01"/>
    <w:rsid w:val="00783669"/>
    <w:rsid w:val="00790E60"/>
    <w:rsid w:val="007A6E04"/>
    <w:rsid w:val="007C388F"/>
    <w:rsid w:val="007C6C50"/>
    <w:rsid w:val="007D7CC6"/>
    <w:rsid w:val="007E0E43"/>
    <w:rsid w:val="007E2C5C"/>
    <w:rsid w:val="007E671C"/>
    <w:rsid w:val="007E7023"/>
    <w:rsid w:val="007F66E2"/>
    <w:rsid w:val="008052F9"/>
    <w:rsid w:val="00813B27"/>
    <w:rsid w:val="00822114"/>
    <w:rsid w:val="0082415B"/>
    <w:rsid w:val="00825AD0"/>
    <w:rsid w:val="00826389"/>
    <w:rsid w:val="00841C21"/>
    <w:rsid w:val="008739A5"/>
    <w:rsid w:val="00881A9C"/>
    <w:rsid w:val="0088537C"/>
    <w:rsid w:val="008A0636"/>
    <w:rsid w:val="008B43EB"/>
    <w:rsid w:val="008C5BF4"/>
    <w:rsid w:val="008E08CA"/>
    <w:rsid w:val="008E2C46"/>
    <w:rsid w:val="008E4F57"/>
    <w:rsid w:val="008F2981"/>
    <w:rsid w:val="008F7F21"/>
    <w:rsid w:val="00901091"/>
    <w:rsid w:val="00911647"/>
    <w:rsid w:val="0091364F"/>
    <w:rsid w:val="009154AA"/>
    <w:rsid w:val="00956323"/>
    <w:rsid w:val="00960E5E"/>
    <w:rsid w:val="00980045"/>
    <w:rsid w:val="00982DC3"/>
    <w:rsid w:val="0098661F"/>
    <w:rsid w:val="009907A6"/>
    <w:rsid w:val="00996694"/>
    <w:rsid w:val="009A32EB"/>
    <w:rsid w:val="009B476A"/>
    <w:rsid w:val="009B694B"/>
    <w:rsid w:val="009D6101"/>
    <w:rsid w:val="009D6243"/>
    <w:rsid w:val="009D7E26"/>
    <w:rsid w:val="009E1782"/>
    <w:rsid w:val="009F3947"/>
    <w:rsid w:val="00A0092A"/>
    <w:rsid w:val="00A016CB"/>
    <w:rsid w:val="00A232CA"/>
    <w:rsid w:val="00A362C8"/>
    <w:rsid w:val="00A429FA"/>
    <w:rsid w:val="00A46C1C"/>
    <w:rsid w:val="00A52C31"/>
    <w:rsid w:val="00AB6697"/>
    <w:rsid w:val="00AC1DD9"/>
    <w:rsid w:val="00AD1C0B"/>
    <w:rsid w:val="00AD65C5"/>
    <w:rsid w:val="00AE175D"/>
    <w:rsid w:val="00AE77EB"/>
    <w:rsid w:val="00AF0141"/>
    <w:rsid w:val="00AF764D"/>
    <w:rsid w:val="00B06DF2"/>
    <w:rsid w:val="00B15931"/>
    <w:rsid w:val="00B33F96"/>
    <w:rsid w:val="00B352C9"/>
    <w:rsid w:val="00B45EA2"/>
    <w:rsid w:val="00B6589E"/>
    <w:rsid w:val="00B67872"/>
    <w:rsid w:val="00B72343"/>
    <w:rsid w:val="00B81A87"/>
    <w:rsid w:val="00B861DF"/>
    <w:rsid w:val="00BF0E04"/>
    <w:rsid w:val="00BF28E5"/>
    <w:rsid w:val="00BF3CAE"/>
    <w:rsid w:val="00BF5CD1"/>
    <w:rsid w:val="00C005C2"/>
    <w:rsid w:val="00C05D7E"/>
    <w:rsid w:val="00C069F4"/>
    <w:rsid w:val="00C318E3"/>
    <w:rsid w:val="00C32107"/>
    <w:rsid w:val="00C3489B"/>
    <w:rsid w:val="00C42999"/>
    <w:rsid w:val="00C47ED2"/>
    <w:rsid w:val="00C51A6D"/>
    <w:rsid w:val="00C70550"/>
    <w:rsid w:val="00C76A3D"/>
    <w:rsid w:val="00CB0AF0"/>
    <w:rsid w:val="00CD5444"/>
    <w:rsid w:val="00CE4451"/>
    <w:rsid w:val="00CF7227"/>
    <w:rsid w:val="00D0338F"/>
    <w:rsid w:val="00D07F8A"/>
    <w:rsid w:val="00D17116"/>
    <w:rsid w:val="00D32335"/>
    <w:rsid w:val="00D6567F"/>
    <w:rsid w:val="00D65DD3"/>
    <w:rsid w:val="00D6715E"/>
    <w:rsid w:val="00D825D7"/>
    <w:rsid w:val="00D86618"/>
    <w:rsid w:val="00D87EF0"/>
    <w:rsid w:val="00D95D4C"/>
    <w:rsid w:val="00D962C0"/>
    <w:rsid w:val="00DA0BE5"/>
    <w:rsid w:val="00DA160F"/>
    <w:rsid w:val="00DC3622"/>
    <w:rsid w:val="00DD2E22"/>
    <w:rsid w:val="00DE212F"/>
    <w:rsid w:val="00DF6CD3"/>
    <w:rsid w:val="00DF752C"/>
    <w:rsid w:val="00E035E1"/>
    <w:rsid w:val="00E2664E"/>
    <w:rsid w:val="00E475E9"/>
    <w:rsid w:val="00E47ED2"/>
    <w:rsid w:val="00E6677A"/>
    <w:rsid w:val="00E7194A"/>
    <w:rsid w:val="00E753C9"/>
    <w:rsid w:val="00E8745B"/>
    <w:rsid w:val="00E92FE1"/>
    <w:rsid w:val="00E94EDB"/>
    <w:rsid w:val="00EA1E7B"/>
    <w:rsid w:val="00EA2377"/>
    <w:rsid w:val="00EB3FEE"/>
    <w:rsid w:val="00EC1B7D"/>
    <w:rsid w:val="00EC7639"/>
    <w:rsid w:val="00ED2A63"/>
    <w:rsid w:val="00EE286A"/>
    <w:rsid w:val="00EF5DE3"/>
    <w:rsid w:val="00F00BDE"/>
    <w:rsid w:val="00F16606"/>
    <w:rsid w:val="00F24FDC"/>
    <w:rsid w:val="00F32478"/>
    <w:rsid w:val="00F4381E"/>
    <w:rsid w:val="00F4465C"/>
    <w:rsid w:val="00F467C5"/>
    <w:rsid w:val="00F50F23"/>
    <w:rsid w:val="00F56271"/>
    <w:rsid w:val="00F56BFE"/>
    <w:rsid w:val="00F614C2"/>
    <w:rsid w:val="00F67DFD"/>
    <w:rsid w:val="00F70B15"/>
    <w:rsid w:val="00F70B75"/>
    <w:rsid w:val="00F819B9"/>
    <w:rsid w:val="00F86FB9"/>
    <w:rsid w:val="00F908BD"/>
    <w:rsid w:val="00F94A6F"/>
    <w:rsid w:val="00FA0296"/>
    <w:rsid w:val="00FC4D5B"/>
    <w:rsid w:val="00FD1155"/>
    <w:rsid w:val="00FD54B8"/>
    <w:rsid w:val="00FE2044"/>
    <w:rsid w:val="00FE76D7"/>
    <w:rsid w:val="00FF13B7"/>
    <w:rsid w:val="00FF4F31"/>
    <w:rsid w:val="01534DB6"/>
    <w:rsid w:val="01772EB4"/>
    <w:rsid w:val="01852A85"/>
    <w:rsid w:val="01985F75"/>
    <w:rsid w:val="01B51617"/>
    <w:rsid w:val="01C66BC9"/>
    <w:rsid w:val="01CA1972"/>
    <w:rsid w:val="022507AF"/>
    <w:rsid w:val="02952AA8"/>
    <w:rsid w:val="02A8429B"/>
    <w:rsid w:val="02AA5ABB"/>
    <w:rsid w:val="02C17691"/>
    <w:rsid w:val="03305F64"/>
    <w:rsid w:val="03310215"/>
    <w:rsid w:val="034A1579"/>
    <w:rsid w:val="036E2330"/>
    <w:rsid w:val="03C51A6C"/>
    <w:rsid w:val="03DE7C9A"/>
    <w:rsid w:val="04055B26"/>
    <w:rsid w:val="048B6D9F"/>
    <w:rsid w:val="04C611C3"/>
    <w:rsid w:val="04CA55B2"/>
    <w:rsid w:val="051A4FA0"/>
    <w:rsid w:val="055B1A7C"/>
    <w:rsid w:val="05694E2D"/>
    <w:rsid w:val="05A10CAA"/>
    <w:rsid w:val="05DB61F6"/>
    <w:rsid w:val="060514E0"/>
    <w:rsid w:val="060E4AF1"/>
    <w:rsid w:val="061B777E"/>
    <w:rsid w:val="06657A87"/>
    <w:rsid w:val="067C6B86"/>
    <w:rsid w:val="06E55234"/>
    <w:rsid w:val="070E21BD"/>
    <w:rsid w:val="073467E2"/>
    <w:rsid w:val="0739181A"/>
    <w:rsid w:val="07513A60"/>
    <w:rsid w:val="07C531EB"/>
    <w:rsid w:val="07D92789"/>
    <w:rsid w:val="07D95D69"/>
    <w:rsid w:val="08017785"/>
    <w:rsid w:val="08207F90"/>
    <w:rsid w:val="082366D6"/>
    <w:rsid w:val="08994224"/>
    <w:rsid w:val="08A24AEC"/>
    <w:rsid w:val="08D52A53"/>
    <w:rsid w:val="0924799C"/>
    <w:rsid w:val="0953350A"/>
    <w:rsid w:val="09EF2812"/>
    <w:rsid w:val="09FC0C78"/>
    <w:rsid w:val="0A370D40"/>
    <w:rsid w:val="0A6F42DB"/>
    <w:rsid w:val="0A7D6D6F"/>
    <w:rsid w:val="0A7F19C3"/>
    <w:rsid w:val="0AAD7046"/>
    <w:rsid w:val="0ACF5BC8"/>
    <w:rsid w:val="0AF6791B"/>
    <w:rsid w:val="0B17524C"/>
    <w:rsid w:val="0BBC48ED"/>
    <w:rsid w:val="0BE31F3E"/>
    <w:rsid w:val="0C0211E1"/>
    <w:rsid w:val="0C035B10"/>
    <w:rsid w:val="0C0B58F8"/>
    <w:rsid w:val="0C273259"/>
    <w:rsid w:val="0C456C17"/>
    <w:rsid w:val="0C63540F"/>
    <w:rsid w:val="0C647926"/>
    <w:rsid w:val="0CD46B31"/>
    <w:rsid w:val="0CFA4341"/>
    <w:rsid w:val="0D0E2728"/>
    <w:rsid w:val="0D3956B9"/>
    <w:rsid w:val="0D3B768A"/>
    <w:rsid w:val="0D931EE3"/>
    <w:rsid w:val="0DA950AF"/>
    <w:rsid w:val="0DBB23C1"/>
    <w:rsid w:val="0DFB4F1C"/>
    <w:rsid w:val="0E4E1C10"/>
    <w:rsid w:val="0EA2794B"/>
    <w:rsid w:val="0EB751AC"/>
    <w:rsid w:val="0EBB6E3B"/>
    <w:rsid w:val="0ED17B6E"/>
    <w:rsid w:val="0F2157A2"/>
    <w:rsid w:val="0F7816FF"/>
    <w:rsid w:val="0F9F4210"/>
    <w:rsid w:val="0FCA00EE"/>
    <w:rsid w:val="0FD01281"/>
    <w:rsid w:val="1021405E"/>
    <w:rsid w:val="102D25E9"/>
    <w:rsid w:val="1064722A"/>
    <w:rsid w:val="10A860B1"/>
    <w:rsid w:val="10AE13CB"/>
    <w:rsid w:val="10EE083F"/>
    <w:rsid w:val="11057749"/>
    <w:rsid w:val="116973A4"/>
    <w:rsid w:val="12EE7BEB"/>
    <w:rsid w:val="12F315CB"/>
    <w:rsid w:val="12F96D88"/>
    <w:rsid w:val="13390DD7"/>
    <w:rsid w:val="1344031B"/>
    <w:rsid w:val="135129AD"/>
    <w:rsid w:val="136624B5"/>
    <w:rsid w:val="13671457"/>
    <w:rsid w:val="13AD4C00"/>
    <w:rsid w:val="141642A8"/>
    <w:rsid w:val="14E01266"/>
    <w:rsid w:val="14FD63B5"/>
    <w:rsid w:val="151B3A42"/>
    <w:rsid w:val="152E12FB"/>
    <w:rsid w:val="156351E3"/>
    <w:rsid w:val="15850154"/>
    <w:rsid w:val="159406F8"/>
    <w:rsid w:val="173005A1"/>
    <w:rsid w:val="17482998"/>
    <w:rsid w:val="178909CA"/>
    <w:rsid w:val="17D75B47"/>
    <w:rsid w:val="17F82E18"/>
    <w:rsid w:val="180033EE"/>
    <w:rsid w:val="181B791A"/>
    <w:rsid w:val="182F1969"/>
    <w:rsid w:val="18804122"/>
    <w:rsid w:val="188E0442"/>
    <w:rsid w:val="18BC1C76"/>
    <w:rsid w:val="18D403AC"/>
    <w:rsid w:val="18D720E8"/>
    <w:rsid w:val="190A5021"/>
    <w:rsid w:val="19194478"/>
    <w:rsid w:val="191B3481"/>
    <w:rsid w:val="19396D8F"/>
    <w:rsid w:val="195140F7"/>
    <w:rsid w:val="197229C7"/>
    <w:rsid w:val="1984281A"/>
    <w:rsid w:val="19944ACC"/>
    <w:rsid w:val="19BC4389"/>
    <w:rsid w:val="19CF2FF8"/>
    <w:rsid w:val="1A1C3FB9"/>
    <w:rsid w:val="1A577A3D"/>
    <w:rsid w:val="1A901C31"/>
    <w:rsid w:val="1AD42728"/>
    <w:rsid w:val="1AEF7C57"/>
    <w:rsid w:val="1AF54212"/>
    <w:rsid w:val="1AF93DF0"/>
    <w:rsid w:val="1B654118"/>
    <w:rsid w:val="1BCE7EC9"/>
    <w:rsid w:val="1BD1066D"/>
    <w:rsid w:val="1C635279"/>
    <w:rsid w:val="1CB73E00"/>
    <w:rsid w:val="1CE54FB8"/>
    <w:rsid w:val="1D374D10"/>
    <w:rsid w:val="1D8048ED"/>
    <w:rsid w:val="1DD55B92"/>
    <w:rsid w:val="1E0C661C"/>
    <w:rsid w:val="1E3F7747"/>
    <w:rsid w:val="1E5F32F5"/>
    <w:rsid w:val="1E6A23E4"/>
    <w:rsid w:val="1E852B42"/>
    <w:rsid w:val="1EA0222D"/>
    <w:rsid w:val="1EA35F87"/>
    <w:rsid w:val="1EB77657"/>
    <w:rsid w:val="1ED40C49"/>
    <w:rsid w:val="1EDB1854"/>
    <w:rsid w:val="1F054430"/>
    <w:rsid w:val="1F600474"/>
    <w:rsid w:val="1F8666F5"/>
    <w:rsid w:val="1FA66415"/>
    <w:rsid w:val="1FB22F8B"/>
    <w:rsid w:val="1FCA405E"/>
    <w:rsid w:val="1FD74C8A"/>
    <w:rsid w:val="20063062"/>
    <w:rsid w:val="201761F4"/>
    <w:rsid w:val="202354A5"/>
    <w:rsid w:val="20711042"/>
    <w:rsid w:val="20930E59"/>
    <w:rsid w:val="20E90889"/>
    <w:rsid w:val="20F1310F"/>
    <w:rsid w:val="21390022"/>
    <w:rsid w:val="21574D83"/>
    <w:rsid w:val="21DF2374"/>
    <w:rsid w:val="220157BC"/>
    <w:rsid w:val="227655FD"/>
    <w:rsid w:val="22BA2898"/>
    <w:rsid w:val="22C46FCD"/>
    <w:rsid w:val="22F452FF"/>
    <w:rsid w:val="231C6ACF"/>
    <w:rsid w:val="232404D2"/>
    <w:rsid w:val="23931AD9"/>
    <w:rsid w:val="23EF0D34"/>
    <w:rsid w:val="245A05C7"/>
    <w:rsid w:val="247C444C"/>
    <w:rsid w:val="24A30FF0"/>
    <w:rsid w:val="24CE0D98"/>
    <w:rsid w:val="24E155C0"/>
    <w:rsid w:val="24E85AD8"/>
    <w:rsid w:val="24F9401C"/>
    <w:rsid w:val="24F95E81"/>
    <w:rsid w:val="250B5095"/>
    <w:rsid w:val="252C6EB7"/>
    <w:rsid w:val="2545645E"/>
    <w:rsid w:val="254D50D1"/>
    <w:rsid w:val="25650FDF"/>
    <w:rsid w:val="25832B8F"/>
    <w:rsid w:val="25AB3471"/>
    <w:rsid w:val="261B507E"/>
    <w:rsid w:val="264F5D0F"/>
    <w:rsid w:val="26523CCE"/>
    <w:rsid w:val="266941A7"/>
    <w:rsid w:val="26774C83"/>
    <w:rsid w:val="267C40AD"/>
    <w:rsid w:val="26A61491"/>
    <w:rsid w:val="26F21D64"/>
    <w:rsid w:val="273347AD"/>
    <w:rsid w:val="278A096D"/>
    <w:rsid w:val="27AC05CA"/>
    <w:rsid w:val="27B520D8"/>
    <w:rsid w:val="27BC4ADE"/>
    <w:rsid w:val="27F16F3D"/>
    <w:rsid w:val="28334B69"/>
    <w:rsid w:val="2881107D"/>
    <w:rsid w:val="288F244D"/>
    <w:rsid w:val="28B07C43"/>
    <w:rsid w:val="28DF249D"/>
    <w:rsid w:val="28E05E5B"/>
    <w:rsid w:val="293D0B7B"/>
    <w:rsid w:val="29465252"/>
    <w:rsid w:val="298F6AC6"/>
    <w:rsid w:val="29A132EF"/>
    <w:rsid w:val="29DB6298"/>
    <w:rsid w:val="29FB471A"/>
    <w:rsid w:val="2A01394F"/>
    <w:rsid w:val="2A43503C"/>
    <w:rsid w:val="2A5E4335"/>
    <w:rsid w:val="2AB01A4E"/>
    <w:rsid w:val="2AC94C62"/>
    <w:rsid w:val="2AFD203A"/>
    <w:rsid w:val="2B815F81"/>
    <w:rsid w:val="2BBA2301"/>
    <w:rsid w:val="2BF505DC"/>
    <w:rsid w:val="2C3300E9"/>
    <w:rsid w:val="2C6E359C"/>
    <w:rsid w:val="2C7710A8"/>
    <w:rsid w:val="2CB40429"/>
    <w:rsid w:val="2CF8429C"/>
    <w:rsid w:val="2D541B39"/>
    <w:rsid w:val="2E2B5D00"/>
    <w:rsid w:val="2E453440"/>
    <w:rsid w:val="2E60411A"/>
    <w:rsid w:val="2E8A3455"/>
    <w:rsid w:val="2EFE31A8"/>
    <w:rsid w:val="2F3B1351"/>
    <w:rsid w:val="2F883375"/>
    <w:rsid w:val="2FBB3683"/>
    <w:rsid w:val="2FC51DCC"/>
    <w:rsid w:val="2FCB7A0A"/>
    <w:rsid w:val="2FD126EA"/>
    <w:rsid w:val="2FED138D"/>
    <w:rsid w:val="2FF65755"/>
    <w:rsid w:val="300C696E"/>
    <w:rsid w:val="301A6FD9"/>
    <w:rsid w:val="304C11B7"/>
    <w:rsid w:val="30871A2F"/>
    <w:rsid w:val="308B72F1"/>
    <w:rsid w:val="3096213B"/>
    <w:rsid w:val="30BA3022"/>
    <w:rsid w:val="30DE0930"/>
    <w:rsid w:val="30F2557D"/>
    <w:rsid w:val="317E3BBB"/>
    <w:rsid w:val="31A45630"/>
    <w:rsid w:val="31D06114"/>
    <w:rsid w:val="31E151A7"/>
    <w:rsid w:val="31E2634D"/>
    <w:rsid w:val="32452128"/>
    <w:rsid w:val="326E01CA"/>
    <w:rsid w:val="32886E0D"/>
    <w:rsid w:val="32FF4623"/>
    <w:rsid w:val="33395CE2"/>
    <w:rsid w:val="334D0A6D"/>
    <w:rsid w:val="33616737"/>
    <w:rsid w:val="34034305"/>
    <w:rsid w:val="34140432"/>
    <w:rsid w:val="342540BC"/>
    <w:rsid w:val="343A75B6"/>
    <w:rsid w:val="34837286"/>
    <w:rsid w:val="353A0BB9"/>
    <w:rsid w:val="356F6841"/>
    <w:rsid w:val="35812D9D"/>
    <w:rsid w:val="35C83E02"/>
    <w:rsid w:val="35F80E32"/>
    <w:rsid w:val="360F027B"/>
    <w:rsid w:val="362B5839"/>
    <w:rsid w:val="36492D1D"/>
    <w:rsid w:val="36D77905"/>
    <w:rsid w:val="36DB146A"/>
    <w:rsid w:val="37280F3D"/>
    <w:rsid w:val="37FB2966"/>
    <w:rsid w:val="37FB7595"/>
    <w:rsid w:val="3806747D"/>
    <w:rsid w:val="3821701B"/>
    <w:rsid w:val="38985A77"/>
    <w:rsid w:val="38986FCB"/>
    <w:rsid w:val="38A8721B"/>
    <w:rsid w:val="38D34294"/>
    <w:rsid w:val="38EC1F59"/>
    <w:rsid w:val="38FC6B46"/>
    <w:rsid w:val="39164952"/>
    <w:rsid w:val="391A2411"/>
    <w:rsid w:val="3976052B"/>
    <w:rsid w:val="399E3086"/>
    <w:rsid w:val="39B56226"/>
    <w:rsid w:val="39E05282"/>
    <w:rsid w:val="3A120B15"/>
    <w:rsid w:val="3A1B44DA"/>
    <w:rsid w:val="3A426B7F"/>
    <w:rsid w:val="3A4C3943"/>
    <w:rsid w:val="3A53624A"/>
    <w:rsid w:val="3A905DD8"/>
    <w:rsid w:val="3B110ABD"/>
    <w:rsid w:val="3BC25158"/>
    <w:rsid w:val="3BEB4BA3"/>
    <w:rsid w:val="3C215AA8"/>
    <w:rsid w:val="3C873F8E"/>
    <w:rsid w:val="3C901F01"/>
    <w:rsid w:val="3D131390"/>
    <w:rsid w:val="3D224B79"/>
    <w:rsid w:val="3D4E4F4C"/>
    <w:rsid w:val="3D7A1274"/>
    <w:rsid w:val="3DA466ED"/>
    <w:rsid w:val="3DDC6452"/>
    <w:rsid w:val="3DF65995"/>
    <w:rsid w:val="3E0460BC"/>
    <w:rsid w:val="3E7C5794"/>
    <w:rsid w:val="3E954A82"/>
    <w:rsid w:val="3EC050C4"/>
    <w:rsid w:val="3EC24574"/>
    <w:rsid w:val="3EC73C98"/>
    <w:rsid w:val="3EF2719A"/>
    <w:rsid w:val="3EF27B5E"/>
    <w:rsid w:val="3F0D642F"/>
    <w:rsid w:val="3F183D73"/>
    <w:rsid w:val="3F331D07"/>
    <w:rsid w:val="3F4239E9"/>
    <w:rsid w:val="3F6D4C54"/>
    <w:rsid w:val="3F7E05ED"/>
    <w:rsid w:val="3F9809BE"/>
    <w:rsid w:val="3FC62267"/>
    <w:rsid w:val="3FDD77D2"/>
    <w:rsid w:val="4048610A"/>
    <w:rsid w:val="4069292E"/>
    <w:rsid w:val="40716C2D"/>
    <w:rsid w:val="40DF13A6"/>
    <w:rsid w:val="410E1E73"/>
    <w:rsid w:val="410F2EB2"/>
    <w:rsid w:val="41893E5C"/>
    <w:rsid w:val="41BA79FA"/>
    <w:rsid w:val="41D36C86"/>
    <w:rsid w:val="422D5A13"/>
    <w:rsid w:val="42D820A3"/>
    <w:rsid w:val="43051C65"/>
    <w:rsid w:val="432B5508"/>
    <w:rsid w:val="433F7251"/>
    <w:rsid w:val="43400282"/>
    <w:rsid w:val="43817844"/>
    <w:rsid w:val="43B13537"/>
    <w:rsid w:val="43F02580"/>
    <w:rsid w:val="44357AF8"/>
    <w:rsid w:val="4468674D"/>
    <w:rsid w:val="44A94EED"/>
    <w:rsid w:val="44D46235"/>
    <w:rsid w:val="44F17851"/>
    <w:rsid w:val="453C0ECF"/>
    <w:rsid w:val="45495D2A"/>
    <w:rsid w:val="4563728C"/>
    <w:rsid w:val="45AA3920"/>
    <w:rsid w:val="45BE14CB"/>
    <w:rsid w:val="45BF2FF0"/>
    <w:rsid w:val="45CC38DE"/>
    <w:rsid w:val="45E30124"/>
    <w:rsid w:val="46033B11"/>
    <w:rsid w:val="462D14A7"/>
    <w:rsid w:val="468F797B"/>
    <w:rsid w:val="46B31F93"/>
    <w:rsid w:val="46DE79A6"/>
    <w:rsid w:val="472D202C"/>
    <w:rsid w:val="473866C1"/>
    <w:rsid w:val="47464E51"/>
    <w:rsid w:val="47474784"/>
    <w:rsid w:val="475015DA"/>
    <w:rsid w:val="47825247"/>
    <w:rsid w:val="47960619"/>
    <w:rsid w:val="47A40095"/>
    <w:rsid w:val="47AF46CC"/>
    <w:rsid w:val="47FC6324"/>
    <w:rsid w:val="481765A3"/>
    <w:rsid w:val="48185594"/>
    <w:rsid w:val="48AE641F"/>
    <w:rsid w:val="48B039C3"/>
    <w:rsid w:val="48B9335E"/>
    <w:rsid w:val="49144F59"/>
    <w:rsid w:val="491A4460"/>
    <w:rsid w:val="49576FFA"/>
    <w:rsid w:val="49611893"/>
    <w:rsid w:val="496827C9"/>
    <w:rsid w:val="49735F07"/>
    <w:rsid w:val="49930ECB"/>
    <w:rsid w:val="49D72CA2"/>
    <w:rsid w:val="4A382273"/>
    <w:rsid w:val="4A3A590B"/>
    <w:rsid w:val="4A726BAF"/>
    <w:rsid w:val="4A7416CC"/>
    <w:rsid w:val="4A7C5114"/>
    <w:rsid w:val="4A85638E"/>
    <w:rsid w:val="4A8A71D3"/>
    <w:rsid w:val="4A925EAA"/>
    <w:rsid w:val="4AAA72BC"/>
    <w:rsid w:val="4AC51F7E"/>
    <w:rsid w:val="4B0E2C0A"/>
    <w:rsid w:val="4B1A690C"/>
    <w:rsid w:val="4B1C25C2"/>
    <w:rsid w:val="4B38216B"/>
    <w:rsid w:val="4B7876B4"/>
    <w:rsid w:val="4B960D16"/>
    <w:rsid w:val="4B9A3734"/>
    <w:rsid w:val="4BAA157D"/>
    <w:rsid w:val="4BB22839"/>
    <w:rsid w:val="4BF469A7"/>
    <w:rsid w:val="4BFD0F4B"/>
    <w:rsid w:val="4C174914"/>
    <w:rsid w:val="4C1C78BC"/>
    <w:rsid w:val="4C3755FD"/>
    <w:rsid w:val="4C9D49BB"/>
    <w:rsid w:val="4CB87117"/>
    <w:rsid w:val="4D4460EC"/>
    <w:rsid w:val="4D5D6A93"/>
    <w:rsid w:val="4D6914CB"/>
    <w:rsid w:val="4DF20307"/>
    <w:rsid w:val="4DFE2124"/>
    <w:rsid w:val="4E997188"/>
    <w:rsid w:val="4EA50734"/>
    <w:rsid w:val="4EF311B9"/>
    <w:rsid w:val="4F200C69"/>
    <w:rsid w:val="4F4F09C0"/>
    <w:rsid w:val="4F504426"/>
    <w:rsid w:val="4F9F160C"/>
    <w:rsid w:val="4FB77620"/>
    <w:rsid w:val="50073E3A"/>
    <w:rsid w:val="50515197"/>
    <w:rsid w:val="50B3729D"/>
    <w:rsid w:val="50CE30EC"/>
    <w:rsid w:val="50FC367C"/>
    <w:rsid w:val="5103219D"/>
    <w:rsid w:val="513B4BF1"/>
    <w:rsid w:val="514B3E25"/>
    <w:rsid w:val="5167051C"/>
    <w:rsid w:val="5182655C"/>
    <w:rsid w:val="51926294"/>
    <w:rsid w:val="519771F5"/>
    <w:rsid w:val="51A22904"/>
    <w:rsid w:val="51C336A3"/>
    <w:rsid w:val="51EA42DD"/>
    <w:rsid w:val="51F53204"/>
    <w:rsid w:val="52072C4C"/>
    <w:rsid w:val="52285F24"/>
    <w:rsid w:val="5230259C"/>
    <w:rsid w:val="523B3167"/>
    <w:rsid w:val="527E0DD2"/>
    <w:rsid w:val="531978ED"/>
    <w:rsid w:val="533A344C"/>
    <w:rsid w:val="53401801"/>
    <w:rsid w:val="53450DA1"/>
    <w:rsid w:val="534A69A6"/>
    <w:rsid w:val="53CB76C4"/>
    <w:rsid w:val="53EF0C90"/>
    <w:rsid w:val="53EF45A1"/>
    <w:rsid w:val="54267072"/>
    <w:rsid w:val="54684CFF"/>
    <w:rsid w:val="547121E3"/>
    <w:rsid w:val="54BC33C5"/>
    <w:rsid w:val="54C35CCD"/>
    <w:rsid w:val="54F4796E"/>
    <w:rsid w:val="551452E7"/>
    <w:rsid w:val="551E7D4B"/>
    <w:rsid w:val="55236A86"/>
    <w:rsid w:val="55966021"/>
    <w:rsid w:val="55A75FA3"/>
    <w:rsid w:val="56270BB6"/>
    <w:rsid w:val="563A518A"/>
    <w:rsid w:val="565D3252"/>
    <w:rsid w:val="56755149"/>
    <w:rsid w:val="56A14265"/>
    <w:rsid w:val="579268CB"/>
    <w:rsid w:val="57975869"/>
    <w:rsid w:val="57D9253D"/>
    <w:rsid w:val="57E8764E"/>
    <w:rsid w:val="58476159"/>
    <w:rsid w:val="587B49AE"/>
    <w:rsid w:val="58FD66C0"/>
    <w:rsid w:val="592C2C1F"/>
    <w:rsid w:val="593A443E"/>
    <w:rsid w:val="59594992"/>
    <w:rsid w:val="59E1597F"/>
    <w:rsid w:val="5A035C8B"/>
    <w:rsid w:val="5A707D34"/>
    <w:rsid w:val="5A764561"/>
    <w:rsid w:val="5A926593"/>
    <w:rsid w:val="5ACB12CA"/>
    <w:rsid w:val="5AD10A5C"/>
    <w:rsid w:val="5ADE48F1"/>
    <w:rsid w:val="5AEC4ED7"/>
    <w:rsid w:val="5AF60610"/>
    <w:rsid w:val="5B272E7B"/>
    <w:rsid w:val="5B7B527F"/>
    <w:rsid w:val="5B7B78C8"/>
    <w:rsid w:val="5BB90DD3"/>
    <w:rsid w:val="5BD1246A"/>
    <w:rsid w:val="5C09024A"/>
    <w:rsid w:val="5C61139A"/>
    <w:rsid w:val="5C8F6E68"/>
    <w:rsid w:val="5CAE4BC8"/>
    <w:rsid w:val="5CC844A2"/>
    <w:rsid w:val="5CCD352C"/>
    <w:rsid w:val="5CDC6451"/>
    <w:rsid w:val="5CE35FC3"/>
    <w:rsid w:val="5D0A795F"/>
    <w:rsid w:val="5D2B39A6"/>
    <w:rsid w:val="5D63244E"/>
    <w:rsid w:val="5D7354DA"/>
    <w:rsid w:val="5D934138"/>
    <w:rsid w:val="5DD75863"/>
    <w:rsid w:val="5DFC2879"/>
    <w:rsid w:val="5DFC3269"/>
    <w:rsid w:val="5E0E0299"/>
    <w:rsid w:val="5E143593"/>
    <w:rsid w:val="5E2D5D7D"/>
    <w:rsid w:val="5E4744EF"/>
    <w:rsid w:val="5E805A69"/>
    <w:rsid w:val="5E8159F7"/>
    <w:rsid w:val="5EA27FFC"/>
    <w:rsid w:val="5ED1663A"/>
    <w:rsid w:val="5ED47B6A"/>
    <w:rsid w:val="5EE202AA"/>
    <w:rsid w:val="5F061643"/>
    <w:rsid w:val="5F333D6F"/>
    <w:rsid w:val="5F4F3F67"/>
    <w:rsid w:val="5FAA3AA3"/>
    <w:rsid w:val="60470B92"/>
    <w:rsid w:val="60566A8F"/>
    <w:rsid w:val="6089684C"/>
    <w:rsid w:val="60CD57B5"/>
    <w:rsid w:val="60E214C9"/>
    <w:rsid w:val="611B52D6"/>
    <w:rsid w:val="61361553"/>
    <w:rsid w:val="61383698"/>
    <w:rsid w:val="615568CC"/>
    <w:rsid w:val="616D786B"/>
    <w:rsid w:val="61905C09"/>
    <w:rsid w:val="61B24F42"/>
    <w:rsid w:val="620239EA"/>
    <w:rsid w:val="6293691A"/>
    <w:rsid w:val="62985F9D"/>
    <w:rsid w:val="63147BD9"/>
    <w:rsid w:val="63D15FE7"/>
    <w:rsid w:val="63D61DEA"/>
    <w:rsid w:val="64303A1C"/>
    <w:rsid w:val="643F7926"/>
    <w:rsid w:val="646F368C"/>
    <w:rsid w:val="64735E64"/>
    <w:rsid w:val="64BC4EAF"/>
    <w:rsid w:val="650850B7"/>
    <w:rsid w:val="651A474D"/>
    <w:rsid w:val="6540055E"/>
    <w:rsid w:val="656764A9"/>
    <w:rsid w:val="657415BE"/>
    <w:rsid w:val="65743695"/>
    <w:rsid w:val="65C40270"/>
    <w:rsid w:val="65D57AD3"/>
    <w:rsid w:val="663B01B3"/>
    <w:rsid w:val="665E16F2"/>
    <w:rsid w:val="66630517"/>
    <w:rsid w:val="666B16C0"/>
    <w:rsid w:val="66C2209C"/>
    <w:rsid w:val="66C94DD0"/>
    <w:rsid w:val="66DB3153"/>
    <w:rsid w:val="672E5568"/>
    <w:rsid w:val="67356BED"/>
    <w:rsid w:val="676C033D"/>
    <w:rsid w:val="67CE7AB6"/>
    <w:rsid w:val="67EA0CF3"/>
    <w:rsid w:val="681151F6"/>
    <w:rsid w:val="682529E5"/>
    <w:rsid w:val="68614617"/>
    <w:rsid w:val="68797EF9"/>
    <w:rsid w:val="68B80360"/>
    <w:rsid w:val="68C81A90"/>
    <w:rsid w:val="68D135FB"/>
    <w:rsid w:val="68F200B0"/>
    <w:rsid w:val="694E6E1A"/>
    <w:rsid w:val="69637AB4"/>
    <w:rsid w:val="69773A5D"/>
    <w:rsid w:val="6A2967D9"/>
    <w:rsid w:val="6A403AD3"/>
    <w:rsid w:val="6ACD5061"/>
    <w:rsid w:val="6AD07B12"/>
    <w:rsid w:val="6AF447B5"/>
    <w:rsid w:val="6B187BDA"/>
    <w:rsid w:val="6B8500CD"/>
    <w:rsid w:val="6B931C91"/>
    <w:rsid w:val="6BA97E1E"/>
    <w:rsid w:val="6BB6671E"/>
    <w:rsid w:val="6BC94F29"/>
    <w:rsid w:val="6C71573D"/>
    <w:rsid w:val="6C7A001C"/>
    <w:rsid w:val="6CB379BF"/>
    <w:rsid w:val="6CE63D1A"/>
    <w:rsid w:val="6CEC28B0"/>
    <w:rsid w:val="6D6F3424"/>
    <w:rsid w:val="6D902754"/>
    <w:rsid w:val="6DC959F2"/>
    <w:rsid w:val="6DEA4C9E"/>
    <w:rsid w:val="6DEF6E3B"/>
    <w:rsid w:val="6E4D39F1"/>
    <w:rsid w:val="6E5912BC"/>
    <w:rsid w:val="6E6B11B2"/>
    <w:rsid w:val="6E813B56"/>
    <w:rsid w:val="6F03215B"/>
    <w:rsid w:val="6F0D088C"/>
    <w:rsid w:val="6F2766F8"/>
    <w:rsid w:val="6FD736A5"/>
    <w:rsid w:val="707954D8"/>
    <w:rsid w:val="7083037F"/>
    <w:rsid w:val="708670DB"/>
    <w:rsid w:val="70A075CC"/>
    <w:rsid w:val="70B03B91"/>
    <w:rsid w:val="70CC0649"/>
    <w:rsid w:val="70CD7531"/>
    <w:rsid w:val="70EC0056"/>
    <w:rsid w:val="70F46260"/>
    <w:rsid w:val="70FC602B"/>
    <w:rsid w:val="71572459"/>
    <w:rsid w:val="7195588F"/>
    <w:rsid w:val="71F94293"/>
    <w:rsid w:val="720146C4"/>
    <w:rsid w:val="72872307"/>
    <w:rsid w:val="73116630"/>
    <w:rsid w:val="733740F7"/>
    <w:rsid w:val="73B67A2D"/>
    <w:rsid w:val="73C65BDA"/>
    <w:rsid w:val="73C764A0"/>
    <w:rsid w:val="73C837BE"/>
    <w:rsid w:val="74405A34"/>
    <w:rsid w:val="74537F85"/>
    <w:rsid w:val="7496781A"/>
    <w:rsid w:val="74BD5FF0"/>
    <w:rsid w:val="74FF177B"/>
    <w:rsid w:val="756D516E"/>
    <w:rsid w:val="75D05763"/>
    <w:rsid w:val="75DC6373"/>
    <w:rsid w:val="76576F07"/>
    <w:rsid w:val="76B71D6E"/>
    <w:rsid w:val="76D2397B"/>
    <w:rsid w:val="76DD7BB8"/>
    <w:rsid w:val="76F76DD9"/>
    <w:rsid w:val="771E40AF"/>
    <w:rsid w:val="77783D9E"/>
    <w:rsid w:val="77A37A5C"/>
    <w:rsid w:val="77C34CCA"/>
    <w:rsid w:val="77EF3ADE"/>
    <w:rsid w:val="7809523D"/>
    <w:rsid w:val="781D2B77"/>
    <w:rsid w:val="78685489"/>
    <w:rsid w:val="7900098C"/>
    <w:rsid w:val="79890A2B"/>
    <w:rsid w:val="79AE3C4B"/>
    <w:rsid w:val="7A2D710D"/>
    <w:rsid w:val="7A406679"/>
    <w:rsid w:val="7A675A79"/>
    <w:rsid w:val="7AC00AAD"/>
    <w:rsid w:val="7B2267C3"/>
    <w:rsid w:val="7B6936FF"/>
    <w:rsid w:val="7B6C4D8C"/>
    <w:rsid w:val="7B735BD6"/>
    <w:rsid w:val="7B9E3112"/>
    <w:rsid w:val="7BE42667"/>
    <w:rsid w:val="7C737E2A"/>
    <w:rsid w:val="7C8F3F2A"/>
    <w:rsid w:val="7CFD4C48"/>
    <w:rsid w:val="7D2E5E20"/>
    <w:rsid w:val="7D7146CD"/>
    <w:rsid w:val="7DD96CE3"/>
    <w:rsid w:val="7DF13828"/>
    <w:rsid w:val="7DFB3EB7"/>
    <w:rsid w:val="7E127C55"/>
    <w:rsid w:val="7EB11DE1"/>
    <w:rsid w:val="7ED40C4D"/>
    <w:rsid w:val="7EFA361B"/>
    <w:rsid w:val="7F16089B"/>
    <w:rsid w:val="7F951AF7"/>
    <w:rsid w:val="7FAD2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qFormat="1"/>
    <w:lsdException w:name="header" w:semiHidden="0" w:unhideWhenUsed="0" w:qFormat="1"/>
    <w:lsdException w:name="footer" w:semiHidden="0" w:uiPriority="99" w:qFormat="1"/>
    <w:lsdException w:name="caption" w:qFormat="1"/>
    <w:lsdException w:name="annotation reference"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59"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uiPriority w:val="9"/>
    <w:qFormat/>
    <w:pPr>
      <w:keepNext/>
      <w:keepLines/>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semiHidden/>
    <w:unhideWhenUsed/>
    <w:qFormat/>
    <w:pPr>
      <w:jc w:val="left"/>
    </w:pPr>
  </w:style>
  <w:style w:type="paragraph" w:styleId="a4">
    <w:name w:val="Balloon Text"/>
    <w:basedOn w:val="a"/>
    <w:link w:val="Char0"/>
    <w:qFormat/>
    <w:rPr>
      <w:sz w:val="18"/>
      <w:szCs w:val="18"/>
    </w:rPr>
  </w:style>
  <w:style w:type="paragraph" w:styleId="a5">
    <w:name w:val="footer"/>
    <w:basedOn w:val="a"/>
    <w:uiPriority w:val="99"/>
    <w:unhideWhenUsed/>
    <w:qFormat/>
    <w:pPr>
      <w:tabs>
        <w:tab w:val="center" w:pos="4153"/>
        <w:tab w:val="right" w:pos="8306"/>
      </w:tabs>
      <w:snapToGrid w:val="0"/>
      <w:jc w:val="left"/>
    </w:pPr>
    <w:rPr>
      <w:sz w:val="18"/>
      <w:szCs w:val="18"/>
    </w:rPr>
  </w:style>
  <w:style w:type="paragraph" w:styleId="a6">
    <w:name w:val="header"/>
    <w:basedOn w:val="a"/>
    <w:link w:val="Char1"/>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semiHidden/>
    <w:unhideWhenUsed/>
    <w:qFormat/>
    <w:rPr>
      <w:sz w:val="21"/>
      <w:szCs w:val="21"/>
    </w:rPr>
  </w:style>
  <w:style w:type="character" w:customStyle="1" w:styleId="Char0">
    <w:name w:val="批注框文本 Char"/>
    <w:basedOn w:val="a0"/>
    <w:link w:val="a4"/>
    <w:qFormat/>
    <w:rPr>
      <w:kern w:val="2"/>
      <w:sz w:val="18"/>
      <w:szCs w:val="18"/>
    </w:rPr>
  </w:style>
  <w:style w:type="character" w:customStyle="1" w:styleId="Char1">
    <w:name w:val="页眉 Char"/>
    <w:basedOn w:val="a0"/>
    <w:link w:val="a6"/>
    <w:qFormat/>
    <w:rPr>
      <w:kern w:val="2"/>
      <w:sz w:val="18"/>
      <w:szCs w:val="18"/>
    </w:rPr>
  </w:style>
  <w:style w:type="character" w:customStyle="1" w:styleId="Char">
    <w:name w:val="批注文字 Char"/>
    <w:basedOn w:val="a0"/>
    <w:link w:val="a3"/>
    <w:semiHidden/>
    <w:qFormat/>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qFormat="1"/>
    <w:lsdException w:name="header" w:semiHidden="0" w:unhideWhenUsed="0" w:qFormat="1"/>
    <w:lsdException w:name="footer" w:semiHidden="0" w:uiPriority="99" w:qFormat="1"/>
    <w:lsdException w:name="caption" w:qFormat="1"/>
    <w:lsdException w:name="annotation reference"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59"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uiPriority w:val="9"/>
    <w:qFormat/>
    <w:pPr>
      <w:keepNext/>
      <w:keepLines/>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semiHidden/>
    <w:unhideWhenUsed/>
    <w:qFormat/>
    <w:pPr>
      <w:jc w:val="left"/>
    </w:pPr>
  </w:style>
  <w:style w:type="paragraph" w:styleId="a4">
    <w:name w:val="Balloon Text"/>
    <w:basedOn w:val="a"/>
    <w:link w:val="Char0"/>
    <w:qFormat/>
    <w:rPr>
      <w:sz w:val="18"/>
      <w:szCs w:val="18"/>
    </w:rPr>
  </w:style>
  <w:style w:type="paragraph" w:styleId="a5">
    <w:name w:val="footer"/>
    <w:basedOn w:val="a"/>
    <w:uiPriority w:val="99"/>
    <w:unhideWhenUsed/>
    <w:qFormat/>
    <w:pPr>
      <w:tabs>
        <w:tab w:val="center" w:pos="4153"/>
        <w:tab w:val="right" w:pos="8306"/>
      </w:tabs>
      <w:snapToGrid w:val="0"/>
      <w:jc w:val="left"/>
    </w:pPr>
    <w:rPr>
      <w:sz w:val="18"/>
      <w:szCs w:val="18"/>
    </w:rPr>
  </w:style>
  <w:style w:type="paragraph" w:styleId="a6">
    <w:name w:val="header"/>
    <w:basedOn w:val="a"/>
    <w:link w:val="Char1"/>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semiHidden/>
    <w:unhideWhenUsed/>
    <w:qFormat/>
    <w:rPr>
      <w:sz w:val="21"/>
      <w:szCs w:val="21"/>
    </w:rPr>
  </w:style>
  <w:style w:type="character" w:customStyle="1" w:styleId="Char0">
    <w:name w:val="批注框文本 Char"/>
    <w:basedOn w:val="a0"/>
    <w:link w:val="a4"/>
    <w:qFormat/>
    <w:rPr>
      <w:kern w:val="2"/>
      <w:sz w:val="18"/>
      <w:szCs w:val="18"/>
    </w:rPr>
  </w:style>
  <w:style w:type="character" w:customStyle="1" w:styleId="Char1">
    <w:name w:val="页眉 Char"/>
    <w:basedOn w:val="a0"/>
    <w:link w:val="a6"/>
    <w:qFormat/>
    <w:rPr>
      <w:kern w:val="2"/>
      <w:sz w:val="18"/>
      <w:szCs w:val="18"/>
    </w:rPr>
  </w:style>
  <w:style w:type="character" w:customStyle="1" w:styleId="Char">
    <w:name w:val="批注文字 Char"/>
    <w:basedOn w:val="a0"/>
    <w:link w:val="a3"/>
    <w:semiHidden/>
    <w:qFormat/>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8</Pages>
  <Words>609</Words>
  <Characters>3474</Characters>
  <Application>Microsoft Office Word</Application>
  <DocSecurity>0</DocSecurity>
  <Lines>28</Lines>
  <Paragraphs>8</Paragraphs>
  <ScaleCrop>false</ScaleCrop>
  <Company>P R C</Company>
  <LinksUpToDate>false</LinksUpToDate>
  <CharactersWithSpaces>4075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null</dc:creator>
  <cp:lastModifiedBy>刘成明（研究中心）</cp:lastModifiedBy>
  <cp:revision>4</cp:revision>
  <cp:lastPrinted>2021-07-07T01:28:00Z</cp:lastPrinted>
  <dcterms:created xsi:type="dcterms:W3CDTF">2021-07-06T08:08:00Z</dcterms:created>
  <dcterms:modified xsi:type="dcterms:W3CDTF">2021-07-08T03:02:00Z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