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D03" w:rsidRDefault="00F163A3">
      <w:pPr>
        <w:spacing w:line="580" w:lineRule="exact"/>
        <w:jc w:val="center"/>
        <w:rPr>
          <w:rFonts w:ascii="方正小标宋简体" w:eastAsia="方正小标宋简体" w:hAnsiTheme="majorEastAsia" w:cs="Times New Roman"/>
          <w:bCs/>
          <w:color w:val="000000" w:themeColor="text1"/>
          <w:sz w:val="44"/>
          <w:szCs w:val="44"/>
        </w:rPr>
      </w:pPr>
      <w:r>
        <w:rPr>
          <w:rFonts w:ascii="方正小标宋简体" w:eastAsia="方正小标宋简体" w:hAnsiTheme="majorEastAsia" w:cs="Times New Roman" w:hint="eastAsia"/>
          <w:bCs/>
          <w:color w:val="000000" w:themeColor="text1"/>
          <w:sz w:val="44"/>
          <w:szCs w:val="44"/>
        </w:rPr>
        <w:t>《关于进一步加大居住用地供应的若干措施（征求意见稿）》起草说明</w:t>
      </w:r>
    </w:p>
    <w:p w:rsidR="00573D03" w:rsidRDefault="00573D03">
      <w:pPr>
        <w:spacing w:line="580" w:lineRule="exact"/>
        <w:jc w:val="center"/>
        <w:rPr>
          <w:rFonts w:ascii="方正小标宋简体" w:eastAsia="方正小标宋简体" w:hAnsiTheme="majorEastAsia" w:cs="Times New Roman"/>
          <w:bCs/>
          <w:color w:val="000000" w:themeColor="text1"/>
          <w:sz w:val="44"/>
          <w:szCs w:val="44"/>
        </w:rPr>
      </w:pP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color w:val="000000" w:themeColor="text1"/>
          <w:sz w:val="32"/>
          <w:szCs w:val="32"/>
        </w:rPr>
        <w:t>为贯彻中央经济工作会议精神，落实国家关于建立多主体供给、多渠道保障、租购并举的住房保障制度重大决策部署，加快推动中国特色社会主义先行示范区建设，高质量推进综合授权改革，落实《深圳市人民政府关于深化住房制度改革加快建立多主体供给多渠道保障租购并举的住房供应与保障体系的意见》（深府</w:t>
      </w:r>
      <w:proofErr w:type="gramStart"/>
      <w:r>
        <w:rPr>
          <w:rFonts w:ascii="仿宋_GB2312" w:eastAsia="仿宋_GB2312" w:hAnsi="仿宋" w:hint="eastAsia"/>
          <w:color w:val="000000" w:themeColor="text1"/>
          <w:sz w:val="32"/>
          <w:szCs w:val="32"/>
        </w:rPr>
        <w:t>规</w:t>
      </w:r>
      <w:proofErr w:type="gramEnd"/>
      <w:r>
        <w:rPr>
          <w:rFonts w:ascii="仿宋_GB2312" w:eastAsia="仿宋_GB2312" w:hAnsi="仿宋" w:hint="eastAsia"/>
          <w:color w:val="000000" w:themeColor="text1"/>
          <w:sz w:val="32"/>
          <w:szCs w:val="32"/>
        </w:rPr>
        <w:t>〔</w:t>
      </w:r>
      <w:r>
        <w:rPr>
          <w:rFonts w:ascii="仿宋_GB2312" w:eastAsia="仿宋_GB2312" w:hAnsi="仿宋" w:hint="eastAsia"/>
          <w:color w:val="000000" w:themeColor="text1"/>
          <w:sz w:val="32"/>
          <w:szCs w:val="32"/>
        </w:rPr>
        <w:t>2018</w:t>
      </w:r>
      <w:r>
        <w:rPr>
          <w:rFonts w:ascii="仿宋_GB2312" w:eastAsia="仿宋_GB2312" w:hAnsi="仿宋" w:hint="eastAsia"/>
          <w:color w:val="000000" w:themeColor="text1"/>
          <w:sz w:val="32"/>
          <w:szCs w:val="32"/>
        </w:rPr>
        <w:t>〕</w:t>
      </w:r>
      <w:r>
        <w:rPr>
          <w:rFonts w:ascii="仿宋_GB2312" w:eastAsia="仿宋_GB2312" w:hAnsi="仿宋" w:hint="eastAsia"/>
          <w:color w:val="000000" w:themeColor="text1"/>
          <w:sz w:val="32"/>
          <w:szCs w:val="32"/>
        </w:rPr>
        <w:t>13</w:t>
      </w:r>
      <w:r>
        <w:rPr>
          <w:rFonts w:ascii="仿宋_GB2312" w:eastAsia="仿宋_GB2312" w:hAnsi="仿宋" w:hint="eastAsia"/>
          <w:color w:val="000000" w:themeColor="text1"/>
          <w:sz w:val="32"/>
          <w:szCs w:val="32"/>
        </w:rPr>
        <w:t>号，以下简称《改革意见》），</w:t>
      </w:r>
      <w:r>
        <w:rPr>
          <w:rFonts w:ascii="仿宋_GB2312" w:eastAsia="仿宋_GB2312" w:hAnsi="Times New Roman" w:cs="Times New Roman"/>
          <w:color w:val="000000" w:themeColor="text1"/>
          <w:sz w:val="32"/>
          <w:szCs w:val="32"/>
        </w:rPr>
        <w:t>根据有关法律</w:t>
      </w:r>
      <w:r>
        <w:rPr>
          <w:rFonts w:ascii="仿宋_GB2312" w:eastAsia="仿宋_GB2312" w:hAnsi="Times New Roman" w:cs="Times New Roman" w:hint="eastAsia"/>
          <w:color w:val="000000" w:themeColor="text1"/>
          <w:sz w:val="32"/>
          <w:szCs w:val="32"/>
        </w:rPr>
        <w:t>、</w:t>
      </w:r>
      <w:r>
        <w:rPr>
          <w:rFonts w:ascii="仿宋_GB2312" w:eastAsia="仿宋_GB2312" w:hAnsi="Times New Roman" w:cs="Times New Roman"/>
          <w:color w:val="000000" w:themeColor="text1"/>
          <w:sz w:val="32"/>
          <w:szCs w:val="32"/>
        </w:rPr>
        <w:t>法规及规章，</w:t>
      </w:r>
      <w:r>
        <w:rPr>
          <w:rFonts w:ascii="仿宋_GB2312" w:eastAsia="仿宋_GB2312" w:hAnsi="仿宋" w:hint="eastAsia"/>
          <w:bCs/>
          <w:color w:val="000000" w:themeColor="text1"/>
          <w:sz w:val="32"/>
          <w:szCs w:val="32"/>
        </w:rPr>
        <w:t>我局组织起草了</w:t>
      </w:r>
      <w:r>
        <w:rPr>
          <w:rFonts w:ascii="仿宋_GB2312" w:eastAsia="仿宋_GB2312" w:hAnsi="仿宋"/>
          <w:bCs/>
          <w:color w:val="000000" w:themeColor="text1"/>
          <w:sz w:val="32"/>
          <w:szCs w:val="32"/>
        </w:rPr>
        <w:t>《</w:t>
      </w:r>
      <w:r>
        <w:rPr>
          <w:rFonts w:ascii="仿宋_GB2312" w:eastAsia="仿宋_GB2312" w:hAnsi="仿宋" w:hint="eastAsia"/>
          <w:bCs/>
          <w:color w:val="000000" w:themeColor="text1"/>
          <w:sz w:val="32"/>
          <w:szCs w:val="32"/>
        </w:rPr>
        <w:t>关于进一步加大居住用地供应的若干措施</w:t>
      </w:r>
      <w:r>
        <w:rPr>
          <w:rFonts w:ascii="仿宋_GB2312" w:eastAsia="仿宋_GB2312" w:hAnsi="仿宋"/>
          <w:bCs/>
          <w:color w:val="000000" w:themeColor="text1"/>
          <w:sz w:val="32"/>
          <w:szCs w:val="32"/>
        </w:rPr>
        <w:t>》</w:t>
      </w:r>
      <w:r>
        <w:rPr>
          <w:rFonts w:ascii="仿宋_GB2312" w:eastAsia="仿宋_GB2312" w:hAnsi="仿宋" w:hint="eastAsia"/>
          <w:bCs/>
          <w:color w:val="000000" w:themeColor="text1"/>
          <w:sz w:val="32"/>
          <w:szCs w:val="32"/>
        </w:rPr>
        <w:t>（以下</w:t>
      </w:r>
      <w:r>
        <w:rPr>
          <w:rFonts w:ascii="仿宋_GB2312" w:eastAsia="仿宋_GB2312" w:hAnsi="仿宋"/>
          <w:bCs/>
          <w:color w:val="000000" w:themeColor="text1"/>
          <w:sz w:val="32"/>
          <w:szCs w:val="32"/>
        </w:rPr>
        <w:t>简称《</w:t>
      </w:r>
      <w:r>
        <w:rPr>
          <w:rFonts w:ascii="仿宋_GB2312" w:eastAsia="仿宋_GB2312" w:hAnsi="仿宋" w:hint="eastAsia"/>
          <w:bCs/>
          <w:color w:val="000000" w:themeColor="text1"/>
          <w:sz w:val="32"/>
          <w:szCs w:val="32"/>
        </w:rPr>
        <w:t>若干措施</w:t>
      </w:r>
      <w:r>
        <w:rPr>
          <w:rFonts w:ascii="仿宋_GB2312" w:eastAsia="仿宋_GB2312" w:hAnsi="仿宋"/>
          <w:bCs/>
          <w:color w:val="000000" w:themeColor="text1"/>
          <w:sz w:val="32"/>
          <w:szCs w:val="32"/>
        </w:rPr>
        <w:t>》</w:t>
      </w:r>
      <w:r>
        <w:rPr>
          <w:rFonts w:ascii="仿宋_GB2312" w:eastAsia="仿宋_GB2312" w:hAnsi="仿宋" w:hint="eastAsia"/>
          <w:bCs/>
          <w:color w:val="000000" w:themeColor="text1"/>
          <w:sz w:val="32"/>
          <w:szCs w:val="32"/>
        </w:rPr>
        <w:t>），现将主要内容</w:t>
      </w:r>
      <w:r>
        <w:rPr>
          <w:rFonts w:ascii="仿宋_GB2312" w:eastAsia="仿宋_GB2312" w:hAnsi="仿宋"/>
          <w:bCs/>
          <w:color w:val="000000" w:themeColor="text1"/>
          <w:sz w:val="32"/>
          <w:szCs w:val="32"/>
        </w:rPr>
        <w:t>说明如下。</w:t>
      </w:r>
    </w:p>
    <w:p w:rsidR="00573D03" w:rsidRDefault="00F163A3">
      <w:pPr>
        <w:pStyle w:val="1"/>
        <w:spacing w:line="580" w:lineRule="exact"/>
        <w:ind w:firstLineChars="200" w:firstLine="640"/>
        <w:rPr>
          <w:rFonts w:ascii="黑体" w:eastAsia="黑体" w:hAnsi="黑体"/>
          <w:b w:val="0"/>
          <w:color w:val="000000" w:themeColor="text1"/>
          <w:sz w:val="32"/>
        </w:rPr>
      </w:pPr>
      <w:r>
        <w:rPr>
          <w:rFonts w:ascii="黑体" w:eastAsia="黑体" w:hAnsi="黑体" w:hint="eastAsia"/>
          <w:b w:val="0"/>
          <w:color w:val="000000" w:themeColor="text1"/>
          <w:sz w:val="32"/>
        </w:rPr>
        <w:t>一</w:t>
      </w:r>
      <w:r>
        <w:rPr>
          <w:rFonts w:ascii="黑体" w:eastAsia="黑体" w:hAnsi="黑体"/>
          <w:b w:val="0"/>
          <w:color w:val="000000" w:themeColor="text1"/>
          <w:sz w:val="32"/>
        </w:rPr>
        <w:t>、</w:t>
      </w:r>
      <w:r>
        <w:rPr>
          <w:rFonts w:ascii="黑体" w:eastAsia="黑体" w:hAnsi="黑体" w:hint="eastAsia"/>
          <w:b w:val="0"/>
          <w:color w:val="000000" w:themeColor="text1"/>
          <w:sz w:val="32"/>
        </w:rPr>
        <w:t>起草背景及</w:t>
      </w:r>
      <w:r>
        <w:rPr>
          <w:rFonts w:ascii="黑体" w:eastAsia="黑体" w:hAnsi="黑体"/>
          <w:b w:val="0"/>
          <w:color w:val="000000" w:themeColor="text1"/>
          <w:sz w:val="32"/>
        </w:rPr>
        <w:t>必要性</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楷体_GB2312" w:eastAsia="楷体_GB2312" w:hAnsi="仿宋" w:hint="eastAsia"/>
          <w:bCs/>
          <w:color w:val="000000" w:themeColor="text1"/>
          <w:sz w:val="32"/>
          <w:szCs w:val="32"/>
        </w:rPr>
        <w:t>（一）落实中央经济工作会议精神，着力解决大城市住房问题。</w:t>
      </w:r>
      <w:r>
        <w:rPr>
          <w:rFonts w:ascii="仿宋_GB2312" w:eastAsia="仿宋_GB2312" w:hAnsi="仿宋" w:hint="eastAsia"/>
          <w:bCs/>
          <w:color w:val="000000" w:themeColor="text1"/>
          <w:sz w:val="32"/>
          <w:szCs w:val="32"/>
        </w:rPr>
        <w:t>2020</w:t>
      </w:r>
      <w:r>
        <w:rPr>
          <w:rFonts w:ascii="仿宋_GB2312" w:eastAsia="仿宋_GB2312" w:hAnsi="仿宋" w:hint="eastAsia"/>
          <w:bCs/>
          <w:color w:val="000000" w:themeColor="text1"/>
          <w:sz w:val="32"/>
          <w:szCs w:val="32"/>
        </w:rPr>
        <w:t>年中央经济工作会议明确要求解决好大城市住房突出问题。要求坚持</w:t>
      </w:r>
      <w:r w:rsidR="00A5231C">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房子是用来住的、不是用来炒的</w:t>
      </w:r>
      <w:r w:rsidR="00A5231C">
        <w:rPr>
          <w:rFonts w:ascii="仿宋_GB2312" w:eastAsia="仿宋_GB2312" w:hAnsi="仿宋" w:hint="eastAsia"/>
          <w:bCs/>
          <w:color w:val="000000" w:themeColor="text1"/>
          <w:sz w:val="32"/>
          <w:szCs w:val="32"/>
        </w:rPr>
        <w:t>”的</w:t>
      </w:r>
      <w:r>
        <w:rPr>
          <w:rFonts w:ascii="仿宋_GB2312" w:eastAsia="仿宋_GB2312" w:hAnsi="仿宋" w:hint="eastAsia"/>
          <w:bCs/>
          <w:color w:val="000000" w:themeColor="text1"/>
          <w:sz w:val="32"/>
          <w:szCs w:val="32"/>
        </w:rPr>
        <w:t>定位，因地制宜、多策并举，促进房地产市场平稳健康发展。要求高度重视保障性租赁住房建设，加快完善长租房政策，逐步使租购住房在享受公共服务上具有同等权利，规范发展长租房市场。要求土地供应向租赁住房建设倾斜，单列租赁住房用地计划，探索利用集体建设用地和企事业单位自有闲置土地建设租赁住房。</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楷体_GB2312" w:eastAsia="楷体_GB2312" w:hAnsi="仿宋" w:hint="eastAsia"/>
          <w:bCs/>
          <w:color w:val="000000" w:themeColor="text1"/>
          <w:sz w:val="32"/>
          <w:szCs w:val="32"/>
        </w:rPr>
        <w:t>（二）加快推进社会主义先行示范区建设，在住有宜</w:t>
      </w:r>
      <w:proofErr w:type="gramStart"/>
      <w:r>
        <w:rPr>
          <w:rFonts w:ascii="楷体_GB2312" w:eastAsia="楷体_GB2312" w:hAnsi="仿宋" w:hint="eastAsia"/>
          <w:bCs/>
          <w:color w:val="000000" w:themeColor="text1"/>
          <w:sz w:val="32"/>
          <w:szCs w:val="32"/>
        </w:rPr>
        <w:t>居方面</w:t>
      </w:r>
      <w:proofErr w:type="gramEnd"/>
      <w:r>
        <w:rPr>
          <w:rFonts w:ascii="楷体_GB2312" w:eastAsia="楷体_GB2312" w:hAnsi="仿宋" w:hint="eastAsia"/>
          <w:bCs/>
          <w:color w:val="000000" w:themeColor="text1"/>
          <w:sz w:val="32"/>
          <w:szCs w:val="32"/>
        </w:rPr>
        <w:t>取得新进展。</w:t>
      </w:r>
      <w:r>
        <w:rPr>
          <w:rFonts w:ascii="仿宋_GB2312" w:eastAsia="仿宋_GB2312" w:hAnsi="仿宋" w:hint="eastAsia"/>
          <w:bCs/>
          <w:color w:val="000000" w:themeColor="text1"/>
          <w:sz w:val="32"/>
          <w:szCs w:val="32"/>
        </w:rPr>
        <w:t>中共中央国务院《关于支持深圳建设中国</w:t>
      </w:r>
      <w:r>
        <w:rPr>
          <w:rFonts w:ascii="仿宋_GB2312" w:eastAsia="仿宋_GB2312" w:hAnsi="仿宋" w:hint="eastAsia"/>
          <w:bCs/>
          <w:color w:val="000000" w:themeColor="text1"/>
          <w:sz w:val="32"/>
          <w:szCs w:val="32"/>
        </w:rPr>
        <w:lastRenderedPageBreak/>
        <w:t>特色社会主义先行示范区的意见》要求深圳“朝着建设中国特色社会主义先行示范区的方向前行，努力创建社会主义现代化强国的城市范例”，并赋予深圳“民生幸福标杆”的战略定位，要求深圳“建成全覆盖可持续的社会保障体系”，实现“住有宜居”。中共中央办公厅国务院办公厅《深圳建设中国特色社会主义先行示范区综合改革试点实施方案（</w:t>
      </w:r>
      <w:r>
        <w:rPr>
          <w:rFonts w:ascii="仿宋_GB2312" w:eastAsia="仿宋_GB2312" w:hAnsi="仿宋" w:hint="eastAsia"/>
          <w:bCs/>
          <w:color w:val="000000" w:themeColor="text1"/>
          <w:sz w:val="32"/>
          <w:szCs w:val="32"/>
        </w:rPr>
        <w:t>2020</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2025</w:t>
      </w:r>
      <w:r>
        <w:rPr>
          <w:rFonts w:ascii="仿宋_GB2312" w:eastAsia="仿宋_GB2312" w:hAnsi="仿宋" w:hint="eastAsia"/>
          <w:bCs/>
          <w:color w:val="000000" w:themeColor="text1"/>
          <w:sz w:val="32"/>
          <w:szCs w:val="32"/>
        </w:rPr>
        <w:t>年）》要求深圳市“探索利用存量建设用地进行开发建设的市场化机制”。</w:t>
      </w:r>
    </w:p>
    <w:p w:rsidR="00573D03" w:rsidRDefault="00F163A3">
      <w:pPr>
        <w:ind w:firstLine="420"/>
        <w:rPr>
          <w:rFonts w:ascii="仿宋_GB2312" w:eastAsia="仿宋_GB2312" w:hAnsi="仿宋"/>
          <w:bCs/>
          <w:color w:val="000000" w:themeColor="text1"/>
          <w:sz w:val="32"/>
          <w:szCs w:val="32"/>
        </w:rPr>
      </w:pPr>
      <w:r>
        <w:rPr>
          <w:rFonts w:ascii="楷体_GB2312" w:eastAsia="楷体_GB2312" w:hAnsi="仿宋" w:hint="eastAsia"/>
          <w:bCs/>
          <w:color w:val="000000" w:themeColor="text1"/>
          <w:sz w:val="32"/>
          <w:szCs w:val="32"/>
        </w:rPr>
        <w:t>（三）落实市委市</w:t>
      </w:r>
      <w:r>
        <w:rPr>
          <w:rFonts w:ascii="楷体_GB2312" w:eastAsia="楷体_GB2312" w:hAnsi="仿宋" w:hint="eastAsia"/>
          <w:bCs/>
          <w:color w:val="000000" w:themeColor="text1"/>
          <w:sz w:val="32"/>
          <w:szCs w:val="32"/>
        </w:rPr>
        <w:t>政府工作部署，掀起住房建设高潮。</w:t>
      </w:r>
      <w:r>
        <w:rPr>
          <w:rFonts w:ascii="仿宋_GB2312" w:eastAsia="仿宋_GB2312" w:hAnsi="仿宋" w:hint="eastAsia"/>
          <w:bCs/>
          <w:color w:val="000000" w:themeColor="text1"/>
          <w:sz w:val="32"/>
          <w:szCs w:val="32"/>
        </w:rPr>
        <w:t>2020</w:t>
      </w:r>
      <w:r>
        <w:rPr>
          <w:rFonts w:ascii="仿宋_GB2312" w:eastAsia="仿宋_GB2312" w:hAnsi="仿宋" w:hint="eastAsia"/>
          <w:bCs/>
          <w:color w:val="000000" w:themeColor="text1"/>
          <w:sz w:val="32"/>
          <w:szCs w:val="32"/>
        </w:rPr>
        <w:t>年</w:t>
      </w:r>
      <w:r>
        <w:rPr>
          <w:rFonts w:ascii="仿宋_GB2312" w:eastAsia="仿宋_GB2312" w:hAnsi="仿宋" w:hint="eastAsia"/>
          <w:bCs/>
          <w:color w:val="000000" w:themeColor="text1"/>
          <w:sz w:val="32"/>
          <w:szCs w:val="32"/>
        </w:rPr>
        <w:t>8</w:t>
      </w:r>
      <w:r>
        <w:rPr>
          <w:rFonts w:ascii="仿宋_GB2312" w:eastAsia="仿宋_GB2312" w:hAnsi="仿宋" w:hint="eastAsia"/>
          <w:bCs/>
          <w:color w:val="000000" w:themeColor="text1"/>
          <w:sz w:val="32"/>
          <w:szCs w:val="32"/>
        </w:rPr>
        <w:t>月</w:t>
      </w:r>
      <w:r>
        <w:rPr>
          <w:rFonts w:ascii="仿宋_GB2312" w:eastAsia="仿宋_GB2312" w:hAnsi="仿宋" w:hint="eastAsia"/>
          <w:bCs/>
          <w:color w:val="000000" w:themeColor="text1"/>
          <w:sz w:val="32"/>
          <w:szCs w:val="32"/>
        </w:rPr>
        <w:t>27</w:t>
      </w:r>
      <w:r>
        <w:rPr>
          <w:rFonts w:ascii="仿宋_GB2312" w:eastAsia="仿宋_GB2312" w:hAnsi="仿宋" w:hint="eastAsia"/>
          <w:bCs/>
          <w:color w:val="000000" w:themeColor="text1"/>
          <w:sz w:val="32"/>
          <w:szCs w:val="32"/>
        </w:rPr>
        <w:t>日，市政府六届二百二十九次常务会议，要求提前谋划“十四五”期间的居住用地供应规划，加强供应结构创新和政策配套研究，争取“十四五”期间居住用地供应占建设用地供应比例不低于</w:t>
      </w:r>
      <w:r>
        <w:rPr>
          <w:rFonts w:ascii="仿宋_GB2312" w:eastAsia="仿宋_GB2312" w:hAnsi="仿宋" w:hint="eastAsia"/>
          <w:bCs/>
          <w:color w:val="000000" w:themeColor="text1"/>
          <w:sz w:val="32"/>
          <w:szCs w:val="32"/>
        </w:rPr>
        <w:t>30%</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2021</w:t>
      </w:r>
      <w:r>
        <w:rPr>
          <w:rFonts w:ascii="仿宋_GB2312" w:eastAsia="仿宋_GB2312" w:hAnsi="仿宋" w:hint="eastAsia"/>
          <w:bCs/>
          <w:color w:val="000000" w:themeColor="text1"/>
          <w:sz w:val="32"/>
          <w:szCs w:val="32"/>
        </w:rPr>
        <w:t>年第</w:t>
      </w:r>
      <w:r>
        <w:rPr>
          <w:rFonts w:ascii="仿宋_GB2312" w:eastAsia="仿宋_GB2312" w:hAnsi="仿宋" w:hint="eastAsia"/>
          <w:bCs/>
          <w:color w:val="000000" w:themeColor="text1"/>
          <w:sz w:val="32"/>
          <w:szCs w:val="32"/>
        </w:rPr>
        <w:t>1</w:t>
      </w:r>
      <w:r>
        <w:rPr>
          <w:rFonts w:ascii="仿宋_GB2312" w:eastAsia="仿宋_GB2312" w:hAnsi="仿宋" w:hint="eastAsia"/>
          <w:bCs/>
          <w:color w:val="000000" w:themeColor="text1"/>
          <w:sz w:val="32"/>
          <w:szCs w:val="32"/>
        </w:rPr>
        <w:t>次市政府党组（扩大）会议要求掀起住房建设热潮，坚决贯彻落实中央房地产调控政策，加快构建住房供应和保障体系，促进房地产市场平稳健康发展，加大住房供应力度，持续开展大规模住房建设行动。</w:t>
      </w:r>
    </w:p>
    <w:p w:rsidR="00573D03" w:rsidRDefault="00F163A3">
      <w:pPr>
        <w:ind w:firstLine="420"/>
        <w:rPr>
          <w:rFonts w:ascii="仿宋_GB2312" w:eastAsia="仿宋_GB2312" w:hAnsi="仿宋"/>
          <w:bCs/>
          <w:color w:val="000000" w:themeColor="text1"/>
          <w:sz w:val="32"/>
          <w:szCs w:val="32"/>
        </w:rPr>
      </w:pPr>
      <w:r>
        <w:rPr>
          <w:rFonts w:ascii="楷体_GB2312" w:eastAsia="楷体_GB2312" w:hAnsi="仿宋" w:hint="eastAsia"/>
          <w:bCs/>
          <w:color w:val="000000" w:themeColor="text1"/>
          <w:sz w:val="32"/>
          <w:szCs w:val="32"/>
        </w:rPr>
        <w:t>（四）衔接国土空间总体规划，保障居住空间供给</w:t>
      </w:r>
      <w:r>
        <w:rPr>
          <w:rFonts w:ascii="仿宋_GB2312" w:eastAsia="仿宋_GB2312" w:hAnsi="仿宋" w:hint="eastAsia"/>
          <w:bCs/>
          <w:color w:val="000000" w:themeColor="text1"/>
          <w:sz w:val="32"/>
          <w:szCs w:val="32"/>
        </w:rPr>
        <w:t>。本轮国土空间总体规划（草案）聚焦</w:t>
      </w:r>
      <w:proofErr w:type="gramStart"/>
      <w:r>
        <w:rPr>
          <w:rFonts w:ascii="仿宋_GB2312" w:eastAsia="仿宋_GB2312" w:hAnsi="仿宋" w:hint="eastAsia"/>
          <w:bCs/>
          <w:color w:val="000000" w:themeColor="text1"/>
          <w:sz w:val="32"/>
          <w:szCs w:val="32"/>
        </w:rPr>
        <w:t>民生七有</w:t>
      </w:r>
      <w:proofErr w:type="gramEnd"/>
      <w:r>
        <w:rPr>
          <w:rFonts w:ascii="仿宋_GB2312" w:eastAsia="仿宋_GB2312" w:hAnsi="仿宋" w:hint="eastAsia"/>
          <w:bCs/>
          <w:color w:val="000000" w:themeColor="text1"/>
          <w:sz w:val="32"/>
          <w:szCs w:val="32"/>
        </w:rPr>
        <w:t>发展</w:t>
      </w:r>
      <w:r>
        <w:rPr>
          <w:rFonts w:ascii="仿宋_GB2312" w:eastAsia="仿宋_GB2312" w:hAnsi="仿宋" w:hint="eastAsia"/>
          <w:bCs/>
          <w:color w:val="000000" w:themeColor="text1"/>
          <w:sz w:val="32"/>
          <w:szCs w:val="32"/>
        </w:rPr>
        <w:t>目标，提出通过“增总量、优布局、调结构、提品质”的策略，提供更高品质的居住空间，规划新增各类住房</w:t>
      </w:r>
      <w:r>
        <w:rPr>
          <w:rFonts w:ascii="仿宋_GB2312" w:eastAsia="仿宋_GB2312" w:hAnsi="仿宋" w:hint="eastAsia"/>
          <w:bCs/>
          <w:color w:val="000000" w:themeColor="text1"/>
          <w:sz w:val="32"/>
          <w:szCs w:val="32"/>
        </w:rPr>
        <w:t>200</w:t>
      </w:r>
      <w:r>
        <w:rPr>
          <w:rFonts w:ascii="仿宋_GB2312" w:eastAsia="仿宋_GB2312" w:hAnsi="仿宋" w:hint="eastAsia"/>
          <w:bCs/>
          <w:color w:val="000000" w:themeColor="text1"/>
          <w:sz w:val="32"/>
          <w:szCs w:val="32"/>
        </w:rPr>
        <w:t>万套以上，公共住房占比不低于新增住房总套数的</w:t>
      </w:r>
      <w:r>
        <w:rPr>
          <w:rFonts w:ascii="仿宋_GB2312" w:eastAsia="仿宋_GB2312" w:hAnsi="仿宋" w:hint="eastAsia"/>
          <w:bCs/>
          <w:color w:val="000000" w:themeColor="text1"/>
          <w:sz w:val="32"/>
          <w:szCs w:val="32"/>
        </w:rPr>
        <w:t>60%</w:t>
      </w:r>
      <w:r>
        <w:rPr>
          <w:rFonts w:ascii="仿宋_GB2312" w:eastAsia="仿宋_GB2312" w:hAnsi="仿宋" w:hint="eastAsia"/>
          <w:bCs/>
          <w:sz w:val="32"/>
          <w:szCs w:val="32"/>
        </w:rPr>
        <w:t>。</w:t>
      </w:r>
    </w:p>
    <w:p w:rsidR="00573D03" w:rsidRDefault="00F163A3">
      <w:pPr>
        <w:pStyle w:val="1"/>
        <w:spacing w:line="580" w:lineRule="exact"/>
        <w:ind w:firstLineChars="200" w:firstLine="640"/>
        <w:rPr>
          <w:rFonts w:ascii="黑体" w:eastAsia="黑体" w:hAnsi="黑体"/>
          <w:b w:val="0"/>
          <w:color w:val="000000" w:themeColor="text1"/>
          <w:sz w:val="32"/>
        </w:rPr>
      </w:pPr>
      <w:r>
        <w:rPr>
          <w:rFonts w:ascii="黑体" w:eastAsia="黑体" w:hAnsi="黑体" w:hint="eastAsia"/>
          <w:b w:val="0"/>
          <w:color w:val="000000" w:themeColor="text1"/>
          <w:sz w:val="32"/>
        </w:rPr>
        <w:lastRenderedPageBreak/>
        <w:t>二</w:t>
      </w:r>
      <w:r>
        <w:rPr>
          <w:rFonts w:ascii="黑体" w:eastAsia="黑体" w:hAnsi="黑体"/>
          <w:b w:val="0"/>
          <w:color w:val="000000" w:themeColor="text1"/>
          <w:sz w:val="32"/>
        </w:rPr>
        <w:t>、</w:t>
      </w:r>
      <w:r>
        <w:rPr>
          <w:rFonts w:ascii="黑体" w:eastAsia="黑体" w:hAnsi="黑体" w:hint="eastAsia"/>
          <w:b w:val="0"/>
          <w:color w:val="000000" w:themeColor="text1"/>
          <w:sz w:val="32"/>
        </w:rPr>
        <w:t>主要内容</w:t>
      </w:r>
      <w:r>
        <w:rPr>
          <w:rFonts w:ascii="黑体" w:eastAsia="黑体" w:hAnsi="黑体"/>
          <w:b w:val="0"/>
          <w:color w:val="000000" w:themeColor="text1"/>
          <w:sz w:val="32"/>
        </w:rPr>
        <w:t>说明</w:t>
      </w:r>
    </w:p>
    <w:p w:rsidR="00573D03" w:rsidRDefault="00F163A3">
      <w:pPr>
        <w:spacing w:line="580" w:lineRule="exact"/>
        <w:ind w:firstLineChars="200" w:firstLine="640"/>
        <w:rPr>
          <w:rFonts w:ascii="仿宋_GB2312" w:eastAsia="仿宋_GB2312" w:hAnsi="仿宋"/>
          <w:b/>
          <w:bCs/>
          <w:color w:val="000000" w:themeColor="text1"/>
          <w:sz w:val="32"/>
          <w:szCs w:val="32"/>
        </w:rPr>
      </w:pPr>
      <w:r>
        <w:rPr>
          <w:rFonts w:ascii="仿宋_GB2312" w:eastAsia="仿宋_GB2312" w:hAnsi="仿宋" w:hint="eastAsia"/>
          <w:bCs/>
          <w:color w:val="000000" w:themeColor="text1"/>
          <w:sz w:val="32"/>
          <w:szCs w:val="32"/>
        </w:rPr>
        <w:t>《若干措施》在明确居住空间保障目标的基础上，从强化规划引导、完善供应体系、加强组织保障等多方面综合施策，系统提高空间保障能力，引导空间资源配置向住房倾斜，增加居住用地供给。在强化规划引导方面，以“定目标</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优结构</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控风貌</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提强度</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增配套”为主线，</w:t>
      </w:r>
      <w:r>
        <w:rPr>
          <w:rFonts w:ascii="仿宋_GB2312" w:eastAsia="仿宋_GB2312" w:hAnsi="仿宋" w:hint="eastAsia"/>
          <w:bCs/>
          <w:sz w:val="32"/>
          <w:szCs w:val="32"/>
        </w:rPr>
        <w:t>从宏观到微观、从开发强度到城市风貌、从混合利用到完善配套等方面进行了具体规定；在完善供应体系方面，坚持新增供应与存量盘活相结合，以“保新增</w:t>
      </w:r>
      <w:r>
        <w:rPr>
          <w:rFonts w:ascii="仿宋_GB2312" w:eastAsia="仿宋_GB2312" w:hAnsi="仿宋" w:hint="eastAsia"/>
          <w:bCs/>
          <w:sz w:val="32"/>
          <w:szCs w:val="32"/>
        </w:rPr>
        <w:t>-</w:t>
      </w:r>
      <w:r>
        <w:rPr>
          <w:rFonts w:ascii="仿宋_GB2312" w:eastAsia="仿宋_GB2312" w:hAnsi="仿宋" w:hint="eastAsia"/>
          <w:bCs/>
          <w:sz w:val="32"/>
          <w:szCs w:val="32"/>
        </w:rPr>
        <w:t>扩租赁</w:t>
      </w:r>
      <w:r>
        <w:rPr>
          <w:rFonts w:ascii="仿宋_GB2312" w:eastAsia="仿宋_GB2312" w:hAnsi="仿宋" w:hint="eastAsia"/>
          <w:bCs/>
          <w:sz w:val="32"/>
          <w:szCs w:val="32"/>
        </w:rPr>
        <w:t>-</w:t>
      </w:r>
      <w:r>
        <w:rPr>
          <w:rFonts w:ascii="仿宋_GB2312" w:eastAsia="仿宋_GB2312" w:hAnsi="仿宋" w:hint="eastAsia"/>
          <w:bCs/>
          <w:sz w:val="32"/>
          <w:szCs w:val="32"/>
        </w:rPr>
        <w:t>促整备</w:t>
      </w:r>
      <w:r>
        <w:rPr>
          <w:rFonts w:ascii="仿宋_GB2312" w:eastAsia="仿宋_GB2312" w:hAnsi="仿宋" w:hint="eastAsia"/>
          <w:bCs/>
          <w:sz w:val="32"/>
          <w:szCs w:val="32"/>
        </w:rPr>
        <w:t>-</w:t>
      </w:r>
      <w:r>
        <w:rPr>
          <w:rFonts w:ascii="仿宋_GB2312" w:eastAsia="仿宋_GB2312" w:hAnsi="仿宋" w:hint="eastAsia"/>
          <w:bCs/>
          <w:sz w:val="32"/>
          <w:szCs w:val="32"/>
        </w:rPr>
        <w:t>调更新</w:t>
      </w:r>
      <w:r>
        <w:rPr>
          <w:rFonts w:ascii="仿宋_GB2312" w:eastAsia="仿宋_GB2312" w:hAnsi="仿宋" w:hint="eastAsia"/>
          <w:bCs/>
          <w:sz w:val="32"/>
          <w:szCs w:val="32"/>
        </w:rPr>
        <w:t>-</w:t>
      </w:r>
      <w:r>
        <w:rPr>
          <w:rFonts w:ascii="仿宋_GB2312" w:eastAsia="仿宋_GB2312" w:hAnsi="仿宋" w:hint="eastAsia"/>
          <w:bCs/>
          <w:sz w:val="32"/>
          <w:szCs w:val="32"/>
        </w:rPr>
        <w:t>增居改</w:t>
      </w:r>
      <w:r>
        <w:rPr>
          <w:rFonts w:ascii="仿宋_GB2312" w:eastAsia="仿宋_GB2312" w:hAnsi="仿宋" w:hint="eastAsia"/>
          <w:bCs/>
          <w:sz w:val="32"/>
          <w:szCs w:val="32"/>
        </w:rPr>
        <w:t>-</w:t>
      </w:r>
      <w:r>
        <w:rPr>
          <w:rFonts w:ascii="仿宋_GB2312" w:eastAsia="仿宋_GB2312" w:hAnsi="仿宋" w:hint="eastAsia"/>
          <w:bCs/>
          <w:sz w:val="32"/>
          <w:szCs w:val="32"/>
        </w:rPr>
        <w:t>盘用房”为主线</w:t>
      </w:r>
      <w:r>
        <w:rPr>
          <w:rFonts w:ascii="仿宋_GB2312" w:eastAsia="仿宋_GB2312" w:hAnsi="仿宋" w:hint="eastAsia"/>
          <w:bCs/>
          <w:sz w:val="32"/>
          <w:szCs w:val="32"/>
        </w:rPr>
        <w:t>，从提高居住用地供应比例、扩大租赁住房用地供给、</w:t>
      </w:r>
      <w:r>
        <w:rPr>
          <w:rFonts w:ascii="仿宋_GB2312" w:eastAsia="仿宋_GB2312" w:hAnsi="仿宋" w:hint="eastAsia"/>
          <w:bCs/>
          <w:sz w:val="32"/>
          <w:szCs w:val="32"/>
        </w:rPr>
        <w:t>加大居住用地供应规模、调整城市更新结构、促进城中村和旧住宅区改造、盘活存量用房潜力等方面进行了具体规定；在加强组织保障方面，提出建立居住用地供应目标责任制，保障各区各部门各司其职。</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b/>
          <w:bCs/>
          <w:color w:val="000000" w:themeColor="text1"/>
          <w:sz w:val="32"/>
          <w:szCs w:val="32"/>
        </w:rPr>
        <w:t>（</w:t>
      </w:r>
      <w:r>
        <w:rPr>
          <w:rFonts w:ascii="仿宋_GB2312" w:eastAsia="仿宋_GB2312" w:hAnsi="仿宋" w:hint="eastAsia"/>
          <w:b/>
          <w:bCs/>
          <w:color w:val="000000" w:themeColor="text1"/>
          <w:sz w:val="32"/>
          <w:szCs w:val="32"/>
        </w:rPr>
        <w:t>一）合理确立规划目标</w:t>
      </w:r>
    </w:p>
    <w:p w:rsidR="00573D03" w:rsidRDefault="00F163A3">
      <w:pPr>
        <w:spacing w:line="58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国土空间总体规划运用系统思维推演空间要素在多维度和多功能角度下给城市空间格局和结构发展带来的变化，</w:t>
      </w:r>
      <w:r>
        <w:rPr>
          <w:rFonts w:ascii="仿宋_GB2312" w:eastAsia="仿宋_GB2312" w:hAnsi="仿宋" w:hint="eastAsia"/>
          <w:bCs/>
          <w:color w:val="000000" w:themeColor="text1"/>
          <w:sz w:val="32"/>
          <w:szCs w:val="32"/>
        </w:rPr>
        <w:t>在居住方面，具体提出了增加居住空间供给、优化居住用地布局、调整住房供应结构、提升住房建设品质的发展思路，预计到</w:t>
      </w:r>
      <w:r>
        <w:rPr>
          <w:rFonts w:ascii="仿宋_GB2312" w:eastAsia="仿宋_GB2312" w:hAnsi="仿宋" w:hint="eastAsia"/>
          <w:bCs/>
          <w:color w:val="000000" w:themeColor="text1"/>
          <w:sz w:val="32"/>
          <w:szCs w:val="32"/>
        </w:rPr>
        <w:t>2035</w:t>
      </w:r>
      <w:r>
        <w:rPr>
          <w:rFonts w:ascii="仿宋_GB2312" w:eastAsia="仿宋_GB2312" w:hAnsi="仿宋" w:hint="eastAsia"/>
          <w:bCs/>
          <w:color w:val="000000" w:themeColor="text1"/>
          <w:sz w:val="32"/>
          <w:szCs w:val="32"/>
        </w:rPr>
        <w:t>年新增各类住房</w:t>
      </w:r>
      <w:r>
        <w:rPr>
          <w:rFonts w:ascii="仿宋_GB2312" w:eastAsia="仿宋_GB2312" w:hAnsi="仿宋" w:hint="eastAsia"/>
          <w:bCs/>
          <w:color w:val="000000" w:themeColor="text1"/>
          <w:sz w:val="32"/>
          <w:szCs w:val="32"/>
        </w:rPr>
        <w:t>200</w:t>
      </w:r>
      <w:r>
        <w:rPr>
          <w:rFonts w:ascii="仿宋_GB2312" w:eastAsia="仿宋_GB2312" w:hAnsi="仿宋" w:hint="eastAsia"/>
          <w:bCs/>
          <w:color w:val="000000" w:themeColor="text1"/>
          <w:sz w:val="32"/>
          <w:szCs w:val="32"/>
        </w:rPr>
        <w:t>万套以上</w:t>
      </w:r>
      <w:r>
        <w:rPr>
          <w:rFonts w:ascii="仿宋_GB2312" w:eastAsia="仿宋_GB2312" w:hAnsi="仿宋" w:hint="eastAsia"/>
          <w:bCs/>
          <w:sz w:val="32"/>
          <w:szCs w:val="32"/>
        </w:rPr>
        <w:t>。《若干措施》依据国土空间总体规划及相关研究，以</w:t>
      </w:r>
      <w:r>
        <w:rPr>
          <w:rFonts w:ascii="仿宋_GB2312" w:eastAsia="仿宋_GB2312" w:hAnsi="仿宋" w:hint="eastAsia"/>
          <w:bCs/>
          <w:sz w:val="32"/>
          <w:szCs w:val="32"/>
        </w:rPr>
        <w:t>1900</w:t>
      </w:r>
      <w:r>
        <w:rPr>
          <w:rFonts w:ascii="仿宋_GB2312" w:eastAsia="仿宋_GB2312" w:hAnsi="仿宋" w:hint="eastAsia"/>
          <w:bCs/>
          <w:sz w:val="32"/>
          <w:szCs w:val="32"/>
        </w:rPr>
        <w:t>万常住人口人均住房面积</w:t>
      </w:r>
      <w:r>
        <w:rPr>
          <w:rFonts w:ascii="仿宋_GB2312" w:eastAsia="仿宋_GB2312" w:hAnsi="仿宋" w:hint="eastAsia"/>
          <w:bCs/>
          <w:sz w:val="32"/>
          <w:szCs w:val="32"/>
        </w:rPr>
        <w:t>40</w:t>
      </w:r>
      <w:r>
        <w:rPr>
          <w:rFonts w:ascii="仿宋_GB2312" w:eastAsia="仿宋_GB2312" w:hAnsi="仿宋" w:hint="eastAsia"/>
          <w:bCs/>
          <w:sz w:val="32"/>
          <w:szCs w:val="32"/>
        </w:rPr>
        <w:t>平方米为资源配置目标。</w:t>
      </w:r>
    </w:p>
    <w:p w:rsidR="00573D03" w:rsidRDefault="00F163A3">
      <w:pPr>
        <w:spacing w:line="58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此外，为确保年度供应任务落实到位，</w:t>
      </w:r>
      <w:r>
        <w:rPr>
          <w:rFonts w:ascii="仿宋_GB2312" w:eastAsia="仿宋_GB2312" w:hAnsi="仿宋" w:hint="eastAsia"/>
          <w:bCs/>
          <w:color w:val="000000" w:themeColor="text1"/>
          <w:sz w:val="32"/>
          <w:szCs w:val="32"/>
        </w:rPr>
        <w:t>明确提出</w:t>
      </w:r>
      <w:r>
        <w:rPr>
          <w:rFonts w:ascii="仿宋_GB2312" w:eastAsia="仿宋_GB2312" w:hAnsi="仿宋" w:hint="eastAsia"/>
          <w:bCs/>
          <w:sz w:val="32"/>
          <w:szCs w:val="32"/>
        </w:rPr>
        <w:t>年度居住用地供应量原则上不低于建设用地供应量的</w:t>
      </w:r>
      <w:r>
        <w:rPr>
          <w:rFonts w:ascii="仿宋_GB2312" w:eastAsia="仿宋_GB2312" w:hAnsi="仿宋" w:hint="eastAsia"/>
          <w:bCs/>
          <w:sz w:val="32"/>
          <w:szCs w:val="32"/>
        </w:rPr>
        <w:t>30%</w:t>
      </w:r>
      <w:r>
        <w:rPr>
          <w:rFonts w:ascii="仿宋_GB2312" w:eastAsia="仿宋_GB2312" w:hAnsi="仿宋" w:hint="eastAsia"/>
          <w:bCs/>
          <w:sz w:val="32"/>
          <w:szCs w:val="32"/>
        </w:rPr>
        <w:t>。</w:t>
      </w:r>
    </w:p>
    <w:p w:rsidR="00573D03" w:rsidRDefault="00F163A3">
      <w:pPr>
        <w:spacing w:line="580" w:lineRule="exact"/>
        <w:ind w:firstLineChars="200" w:firstLine="640"/>
        <w:rPr>
          <w:rFonts w:ascii="仿宋_GB2312" w:eastAsia="仿宋_GB2312" w:hAnsi="仿宋"/>
          <w:b/>
          <w:bCs/>
          <w:color w:val="000000" w:themeColor="text1"/>
          <w:sz w:val="32"/>
          <w:szCs w:val="32"/>
        </w:rPr>
      </w:pPr>
      <w:r>
        <w:rPr>
          <w:rFonts w:ascii="仿宋_GB2312" w:eastAsia="仿宋_GB2312" w:hAnsi="仿宋" w:hint="eastAsia"/>
          <w:bCs/>
          <w:sz w:val="32"/>
          <w:szCs w:val="32"/>
        </w:rPr>
        <w:lastRenderedPageBreak/>
        <w:t xml:space="preserve"> </w:t>
      </w:r>
      <w:r>
        <w:rPr>
          <w:rFonts w:ascii="仿宋_GB2312" w:eastAsia="仿宋_GB2312" w:hAnsi="仿宋" w:hint="eastAsia"/>
          <w:b/>
          <w:bCs/>
          <w:color w:val="000000" w:themeColor="text1"/>
          <w:sz w:val="32"/>
          <w:szCs w:val="32"/>
        </w:rPr>
        <w:t>（二）多举措调整用地结构和布局</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《若干措施》要求调整用地结构、</w:t>
      </w:r>
      <w:r>
        <w:rPr>
          <w:rFonts w:ascii="仿宋_GB2312" w:eastAsia="仿宋_GB2312" w:hAnsi="仿宋" w:hint="eastAsia"/>
          <w:bCs/>
          <w:color w:val="000000" w:themeColor="text1"/>
          <w:sz w:val="32"/>
          <w:szCs w:val="32"/>
        </w:rPr>
        <w:t>住房结构等措施来优化空间资源配置，</w:t>
      </w:r>
      <w:r>
        <w:rPr>
          <w:rFonts w:ascii="仿宋_GB2312" w:eastAsia="仿宋_GB2312" w:hAnsi="仿宋" w:hint="eastAsia"/>
          <w:bCs/>
          <w:sz w:val="32"/>
          <w:szCs w:val="32"/>
        </w:rPr>
        <w:t>通过国土空间规划纵向传导机制和台</w:t>
      </w:r>
      <w:proofErr w:type="gramStart"/>
      <w:r>
        <w:rPr>
          <w:rFonts w:ascii="仿宋_GB2312" w:eastAsia="仿宋_GB2312" w:hAnsi="仿宋" w:hint="eastAsia"/>
          <w:bCs/>
          <w:sz w:val="32"/>
          <w:szCs w:val="32"/>
        </w:rPr>
        <w:t>账形式</w:t>
      </w:r>
      <w:proofErr w:type="gramEnd"/>
      <w:r>
        <w:rPr>
          <w:rFonts w:ascii="仿宋_GB2312" w:eastAsia="仿宋_GB2312" w:hAnsi="仿宋" w:hint="eastAsia"/>
          <w:bCs/>
          <w:sz w:val="32"/>
          <w:szCs w:val="32"/>
        </w:rPr>
        <w:t>逐步传导至法定图则，并</w:t>
      </w:r>
      <w:r>
        <w:rPr>
          <w:rFonts w:ascii="仿宋_GB2312" w:eastAsia="仿宋_GB2312" w:hAnsi="仿宋" w:hint="eastAsia"/>
          <w:bCs/>
          <w:color w:val="000000" w:themeColor="text1"/>
          <w:sz w:val="32"/>
          <w:szCs w:val="32"/>
        </w:rPr>
        <w:t>优化完善城市更新等存量用地开发政策予以落实，实现国土空间规划提出的居住目标，保障住房供给。具体包括提高都市核心区及各综合性服务中心地区居住用地比例，降低商业用地比例</w:t>
      </w:r>
      <w:r w:rsidR="00A5231C">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实施二三产土地混合利用。这些措施是城市空间</w:t>
      </w:r>
      <w:r>
        <w:rPr>
          <w:rFonts w:ascii="仿宋_GB2312" w:eastAsia="仿宋_GB2312" w:hAnsi="仿宋" w:hint="eastAsia"/>
          <w:bCs/>
          <w:color w:val="000000" w:themeColor="text1"/>
          <w:sz w:val="32"/>
          <w:szCs w:val="32"/>
        </w:rPr>
        <w:t>的“腾挪”，是城市转型的需要，可进一步提高城市综合发展能力。</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hint="eastAsia"/>
          <w:b/>
          <w:bCs/>
          <w:color w:val="000000" w:themeColor="text1"/>
          <w:sz w:val="32"/>
          <w:szCs w:val="32"/>
        </w:rPr>
        <w:t>（三）打造宜居适度居住空间</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一是从住有宜</w:t>
      </w:r>
      <w:proofErr w:type="gramStart"/>
      <w:r>
        <w:rPr>
          <w:rFonts w:ascii="仿宋_GB2312" w:eastAsia="仿宋_GB2312" w:hAnsi="仿宋" w:hint="eastAsia"/>
          <w:bCs/>
          <w:color w:val="000000" w:themeColor="text1"/>
          <w:sz w:val="32"/>
          <w:szCs w:val="32"/>
        </w:rPr>
        <w:t>居角度</w:t>
      </w:r>
      <w:proofErr w:type="gramEnd"/>
      <w:r>
        <w:rPr>
          <w:rFonts w:ascii="仿宋_GB2312" w:eastAsia="仿宋_GB2312" w:hAnsi="仿宋" w:hint="eastAsia"/>
          <w:bCs/>
          <w:color w:val="000000" w:themeColor="text1"/>
          <w:sz w:val="32"/>
          <w:szCs w:val="32"/>
        </w:rPr>
        <w:t>出发，</w:t>
      </w:r>
      <w:r>
        <w:rPr>
          <w:rFonts w:ascii="仿宋_GB2312" w:eastAsia="仿宋_GB2312" w:hAnsi="仿宋" w:hint="eastAsia"/>
          <w:bCs/>
          <w:sz w:val="32"/>
          <w:szCs w:val="32"/>
        </w:rPr>
        <w:t>控制</w:t>
      </w:r>
      <w:r>
        <w:rPr>
          <w:rFonts w:ascii="仿宋_GB2312" w:eastAsia="仿宋_GB2312" w:hAnsi="仿宋"/>
          <w:bCs/>
          <w:sz w:val="32"/>
          <w:szCs w:val="32"/>
        </w:rPr>
        <w:t>规划建设超高层住宅建筑</w:t>
      </w:r>
      <w:r>
        <w:rPr>
          <w:rFonts w:ascii="仿宋_GB2312" w:eastAsia="仿宋_GB2312" w:hAnsi="仿宋" w:hint="eastAsia"/>
          <w:bCs/>
          <w:color w:val="000000" w:themeColor="text1"/>
          <w:sz w:val="32"/>
          <w:szCs w:val="32"/>
        </w:rPr>
        <w:t>。</w:t>
      </w:r>
      <w:r>
        <w:rPr>
          <w:rFonts w:ascii="仿宋_GB2312" w:eastAsia="仿宋_GB2312" w:hAnsi="仿宋" w:hint="eastAsia"/>
          <w:bCs/>
          <w:sz w:val="32"/>
          <w:szCs w:val="32"/>
        </w:rPr>
        <w:t>住宅建筑涉及人民的居住环境、身心健康、生命财产安全等问题，相较于</w:t>
      </w:r>
      <w:r>
        <w:rPr>
          <w:rFonts w:ascii="仿宋_GB2312" w:eastAsia="仿宋_GB2312" w:hAnsi="仿宋" w:hint="eastAsia"/>
          <w:bCs/>
          <w:sz w:val="32"/>
          <w:szCs w:val="32"/>
        </w:rPr>
        <w:t>其他民用建筑，相关规划标准和建筑设计规范在日照、疏散、服务配套设施、邻里关系等方面对住宅建筑提出了更高的控制要求。因此，《若干措施》要求合理确定住宅建筑高度，控制超高层住宅建筑的规划建设。</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二是我市商业办公供应相对过剩，需调整用地结构，控制商业类建筑，加大住宅供给。居住与办公混合可能导致大量超高层建筑出现，影响居住环境。为了保障城市风貌，需对居住、办公混合情形予以限制。同时，考虑到存量开发中商业类建筑回迁的需要，允许因回迁需要的项目规划为商住混合用地。</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hint="eastAsia"/>
          <w:b/>
          <w:bCs/>
          <w:color w:val="000000" w:themeColor="text1"/>
          <w:sz w:val="32"/>
          <w:szCs w:val="32"/>
        </w:rPr>
        <w:t>（四）提高居住用地开发强度</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为充分利用我市土地空间资源</w:t>
      </w:r>
      <w:r>
        <w:rPr>
          <w:rFonts w:ascii="仿宋_GB2312" w:eastAsia="仿宋_GB2312" w:hAnsi="仿宋" w:hint="eastAsia"/>
          <w:bCs/>
          <w:color w:val="000000" w:themeColor="text1"/>
          <w:sz w:val="32"/>
          <w:szCs w:val="32"/>
        </w:rPr>
        <w:t>，促进土地节约集约利用，</w:t>
      </w:r>
      <w:r>
        <w:rPr>
          <w:rFonts w:ascii="仿宋_GB2312" w:eastAsia="仿宋_GB2312" w:hAnsi="仿宋" w:hint="eastAsia"/>
          <w:bCs/>
          <w:color w:val="000000" w:themeColor="text1"/>
          <w:sz w:val="32"/>
          <w:szCs w:val="32"/>
        </w:rPr>
        <w:lastRenderedPageBreak/>
        <w:t>《若干措施》提出通过提高密度分区容积率上限、鼓励轨道站点综合开发等措施来综合提高开发强度。一方面，从宝地宝用、节约集约角度出发，应提高新供应用地的开发强度</w:t>
      </w:r>
      <w:r>
        <w:rPr>
          <w:rFonts w:ascii="仿宋_GB2312" w:eastAsia="仿宋_GB2312" w:hAnsi="仿宋" w:hint="eastAsia"/>
          <w:bCs/>
          <w:color w:val="000000" w:themeColor="text1"/>
          <w:sz w:val="32"/>
          <w:szCs w:val="32"/>
        </w:rPr>
        <w:t>。另一方面，现有存量项目容积率普遍较高，将该类项目的居住上限适当提高，可减少商业办公增加住宅。</w:t>
      </w:r>
    </w:p>
    <w:p w:rsidR="00A5231C" w:rsidRDefault="00F163A3">
      <w:pPr>
        <w:spacing w:line="580" w:lineRule="exact"/>
        <w:ind w:firstLineChars="200" w:firstLine="643"/>
        <w:rPr>
          <w:rFonts w:ascii="仿宋_GB2312" w:eastAsia="仿宋_GB2312" w:hAnsi="仿宋" w:hint="eastAsia"/>
          <w:b/>
          <w:bCs/>
          <w:color w:val="000000" w:themeColor="text1"/>
          <w:sz w:val="32"/>
          <w:szCs w:val="32"/>
        </w:rPr>
      </w:pPr>
      <w:r>
        <w:rPr>
          <w:rFonts w:ascii="仿宋_GB2312" w:eastAsia="仿宋_GB2312" w:hAnsi="仿宋" w:hint="eastAsia"/>
          <w:b/>
          <w:bCs/>
          <w:color w:val="000000" w:themeColor="text1"/>
          <w:sz w:val="32"/>
          <w:szCs w:val="32"/>
        </w:rPr>
        <w:t>（五）统筹公共设施规划建设</w:t>
      </w:r>
    </w:p>
    <w:p w:rsidR="00573D03" w:rsidRDefault="00F163A3" w:rsidP="00A5231C">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为努力实现“民生七有”，《若干措施》要求统筹做好居住用地与公共设施的规划布局和建设时序，加强托幼等与居民生活密切相关的公共设施的配置，构建优质均衡的公共服务体系，满足居民物质和文化生活需求。</w:t>
      </w:r>
    </w:p>
    <w:p w:rsidR="00573D03" w:rsidRDefault="00F163A3">
      <w:pPr>
        <w:spacing w:line="580" w:lineRule="exact"/>
        <w:ind w:firstLineChars="200" w:firstLine="640"/>
        <w:rPr>
          <w:rFonts w:ascii="仿宋_GB2312" w:eastAsia="仿宋_GB2312" w:hAnsi="仿宋"/>
          <w:b/>
          <w:bCs/>
          <w:color w:val="000000" w:themeColor="text1"/>
          <w:sz w:val="32"/>
          <w:szCs w:val="32"/>
        </w:rPr>
      </w:pPr>
      <w:r>
        <w:rPr>
          <w:rFonts w:ascii="仿宋_GB2312" w:eastAsia="仿宋_GB2312" w:hAnsi="仿宋" w:hint="eastAsia"/>
          <w:bCs/>
          <w:color w:val="000000" w:themeColor="text1"/>
          <w:sz w:val="32"/>
          <w:szCs w:val="32"/>
        </w:rPr>
        <w:t>此外，由于学位问题是全社会普遍关注且容易引发矛盾的重要问题，在增加居住用地供给同时必须予以保障。《若干措施》严格落实《中共深圳市委</w:t>
      </w:r>
      <w:r>
        <w:rPr>
          <w:rFonts w:ascii="仿宋_GB2312" w:eastAsia="仿宋_GB2312" w:hAnsi="仿宋" w:hint="eastAsia"/>
          <w:bCs/>
          <w:color w:val="000000" w:themeColor="text1"/>
          <w:sz w:val="32"/>
          <w:szCs w:val="32"/>
        </w:rPr>
        <w:t xml:space="preserve"> </w:t>
      </w:r>
      <w:r>
        <w:rPr>
          <w:rFonts w:ascii="仿宋_GB2312" w:eastAsia="仿宋_GB2312" w:hAnsi="仿宋" w:hint="eastAsia"/>
          <w:bCs/>
          <w:color w:val="000000" w:themeColor="text1"/>
          <w:sz w:val="32"/>
          <w:szCs w:val="32"/>
        </w:rPr>
        <w:t>深圳市人民政府</w:t>
      </w:r>
      <w:r>
        <w:rPr>
          <w:rFonts w:ascii="仿宋_GB2312" w:eastAsia="仿宋_GB2312" w:hAnsi="仿宋" w:hint="eastAsia"/>
          <w:bCs/>
          <w:color w:val="000000" w:themeColor="text1"/>
          <w:sz w:val="32"/>
          <w:szCs w:val="32"/>
        </w:rPr>
        <w:t xml:space="preserve"> </w:t>
      </w:r>
      <w:r>
        <w:rPr>
          <w:rFonts w:ascii="仿宋_GB2312" w:eastAsia="仿宋_GB2312" w:hAnsi="仿宋" w:hint="eastAsia"/>
          <w:bCs/>
          <w:color w:val="000000" w:themeColor="text1"/>
          <w:sz w:val="32"/>
          <w:szCs w:val="32"/>
        </w:rPr>
        <w:t>关于加强学位建设推进基础教育优质发展的实施意见》（深发〔</w:t>
      </w:r>
      <w:r>
        <w:rPr>
          <w:rFonts w:ascii="仿宋_GB2312" w:eastAsia="仿宋_GB2312" w:hAnsi="仿宋" w:hint="eastAsia"/>
          <w:bCs/>
          <w:color w:val="000000" w:themeColor="text1"/>
          <w:sz w:val="32"/>
          <w:szCs w:val="32"/>
        </w:rPr>
        <w:t>2020</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11</w:t>
      </w:r>
      <w:r>
        <w:rPr>
          <w:rFonts w:ascii="仿宋_GB2312" w:eastAsia="仿宋_GB2312" w:hAnsi="仿宋" w:hint="eastAsia"/>
          <w:bCs/>
          <w:color w:val="000000" w:themeColor="text1"/>
          <w:sz w:val="32"/>
          <w:szCs w:val="32"/>
        </w:rPr>
        <w:t>号），要求教育和居住同步规划建设，严格落实教育“十四五”规划目标和学位建设联合审查制度，对含住宅类的项</w:t>
      </w:r>
      <w:r>
        <w:rPr>
          <w:rFonts w:ascii="仿宋_GB2312" w:eastAsia="仿宋_GB2312" w:hAnsi="仿宋" w:hint="eastAsia"/>
          <w:bCs/>
          <w:color w:val="000000" w:themeColor="text1"/>
          <w:sz w:val="32"/>
          <w:szCs w:val="32"/>
        </w:rPr>
        <w:t>目的开发建设涉及学位问题的三类情形都做了明确的规定。</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b/>
          <w:bCs/>
          <w:color w:val="000000" w:themeColor="text1"/>
          <w:sz w:val="32"/>
          <w:szCs w:val="32"/>
        </w:rPr>
        <w:t>（</w:t>
      </w:r>
      <w:r>
        <w:rPr>
          <w:rFonts w:ascii="仿宋_GB2312" w:eastAsia="仿宋_GB2312" w:hAnsi="仿宋" w:hint="eastAsia"/>
          <w:b/>
          <w:bCs/>
          <w:color w:val="000000" w:themeColor="text1"/>
          <w:sz w:val="32"/>
          <w:szCs w:val="32"/>
        </w:rPr>
        <w:t>六）加大新增用地保障力度</w:t>
      </w:r>
    </w:p>
    <w:p w:rsidR="00573D03" w:rsidRDefault="00F163A3">
      <w:pPr>
        <w:spacing w:line="580" w:lineRule="exact"/>
        <w:ind w:firstLineChars="200" w:firstLine="640"/>
        <w:rPr>
          <w:rFonts w:ascii="仿宋_GB2312" w:eastAsia="仿宋_GB2312" w:hAnsi="仿宋"/>
          <w:bCs/>
          <w:sz w:val="32"/>
          <w:szCs w:val="32"/>
        </w:rPr>
      </w:pPr>
      <w:r>
        <w:rPr>
          <w:rFonts w:ascii="仿宋_GB2312" w:eastAsia="仿宋_GB2312" w:hAnsi="仿宋" w:hint="eastAsia"/>
          <w:bCs/>
          <w:color w:val="000000" w:themeColor="text1"/>
          <w:sz w:val="32"/>
          <w:szCs w:val="32"/>
        </w:rPr>
        <w:t>《若干措施》提出</w:t>
      </w:r>
      <w:r>
        <w:rPr>
          <w:rFonts w:ascii="仿宋_GB2312" w:eastAsia="仿宋_GB2312" w:hAnsi="仿宋" w:hint="eastAsia"/>
          <w:sz w:val="32"/>
          <w:szCs w:val="32"/>
        </w:rPr>
        <w:t>加快建立整备先行、规划预调、供应高效、滚动推进的居住</w:t>
      </w:r>
      <w:r>
        <w:rPr>
          <w:rFonts w:ascii="仿宋_GB2312" w:eastAsia="仿宋_GB2312" w:hAnsi="仿宋" w:hint="eastAsia"/>
          <w:bCs/>
          <w:sz w:val="32"/>
          <w:szCs w:val="32"/>
        </w:rPr>
        <w:t>用地供给机制，保障新增居住用地供给。</w:t>
      </w:r>
    </w:p>
    <w:p w:rsidR="00573D03" w:rsidRDefault="00F163A3">
      <w:pPr>
        <w:spacing w:line="58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在土地整备方面，</w:t>
      </w:r>
      <w:r>
        <w:rPr>
          <w:rFonts w:ascii="仿宋_GB2312" w:eastAsia="仿宋_GB2312" w:hAnsi="仿宋" w:hint="eastAsia"/>
          <w:bCs/>
          <w:color w:val="000000" w:themeColor="text1"/>
          <w:sz w:val="32"/>
          <w:szCs w:val="32"/>
        </w:rPr>
        <w:t>依据</w:t>
      </w:r>
      <w:r w:rsidR="00A5231C">
        <w:rPr>
          <w:rFonts w:ascii="仿宋_GB2312" w:eastAsia="仿宋_GB2312" w:hAnsi="仿宋" w:hint="eastAsia"/>
          <w:bCs/>
          <w:color w:val="000000" w:themeColor="text1"/>
          <w:sz w:val="32"/>
          <w:szCs w:val="32"/>
        </w:rPr>
        <w:t>正在编制的《深圳市</w:t>
      </w:r>
      <w:r>
        <w:rPr>
          <w:rFonts w:ascii="仿宋_GB2312" w:eastAsia="仿宋_GB2312" w:hAnsi="仿宋" w:hint="eastAsia"/>
          <w:bCs/>
          <w:color w:val="000000" w:themeColor="text1"/>
          <w:sz w:val="32"/>
          <w:szCs w:val="32"/>
        </w:rPr>
        <w:t>城市更新和土地整备“十四五”规划</w:t>
      </w:r>
      <w:r w:rsidR="00A5231C">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，明确要求在保障产业用地供应任务基础上，进一步加大居住潜力用地整备力度，要划定以</w:t>
      </w:r>
      <w:r>
        <w:rPr>
          <w:rFonts w:ascii="仿宋_GB2312" w:eastAsia="仿宋_GB2312" w:hAnsi="仿宋" w:hint="eastAsia"/>
          <w:bCs/>
          <w:color w:val="000000" w:themeColor="text1"/>
          <w:sz w:val="32"/>
          <w:szCs w:val="32"/>
        </w:rPr>
        <w:lastRenderedPageBreak/>
        <w:t>居住潜力为主的整备片区，“十四五”</w:t>
      </w:r>
      <w:r>
        <w:rPr>
          <w:rFonts w:ascii="仿宋_GB2312" w:eastAsia="仿宋_GB2312" w:hAnsi="仿宋" w:hint="eastAsia"/>
          <w:bCs/>
          <w:sz w:val="32"/>
          <w:szCs w:val="32"/>
        </w:rPr>
        <w:t>期间整备的居住潜力用地不少于</w:t>
      </w:r>
      <w:r>
        <w:rPr>
          <w:rFonts w:ascii="仿宋_GB2312" w:eastAsia="仿宋_GB2312" w:hAnsi="仿宋" w:hint="eastAsia"/>
          <w:bCs/>
          <w:sz w:val="32"/>
          <w:szCs w:val="32"/>
        </w:rPr>
        <w:t>10</w:t>
      </w:r>
      <w:r>
        <w:rPr>
          <w:rFonts w:ascii="仿宋_GB2312" w:eastAsia="仿宋_GB2312" w:hAnsi="仿宋" w:hint="eastAsia"/>
          <w:bCs/>
          <w:sz w:val="32"/>
          <w:szCs w:val="32"/>
        </w:rPr>
        <w:t>平方公里，</w:t>
      </w:r>
      <w:r>
        <w:rPr>
          <w:rFonts w:ascii="仿宋_GB2312" w:eastAsia="仿宋_GB2312" w:hAnsi="仿宋" w:hint="eastAsia"/>
          <w:bCs/>
          <w:color w:val="000000" w:themeColor="text1"/>
          <w:sz w:val="32"/>
          <w:szCs w:val="32"/>
        </w:rPr>
        <w:t>“十四五”的前</w:t>
      </w:r>
      <w:r>
        <w:rPr>
          <w:rFonts w:ascii="仿宋_GB2312" w:eastAsia="仿宋_GB2312" w:hAnsi="仿宋" w:hint="eastAsia"/>
          <w:bCs/>
          <w:sz w:val="32"/>
          <w:szCs w:val="32"/>
        </w:rPr>
        <w:t>三年内不少于</w:t>
      </w:r>
      <w:r>
        <w:rPr>
          <w:rFonts w:ascii="仿宋_GB2312" w:eastAsia="仿宋_GB2312" w:hAnsi="仿宋" w:hint="eastAsia"/>
          <w:bCs/>
          <w:sz w:val="32"/>
          <w:szCs w:val="32"/>
        </w:rPr>
        <w:t>7</w:t>
      </w:r>
      <w:r>
        <w:rPr>
          <w:rFonts w:ascii="仿宋_GB2312" w:eastAsia="仿宋_GB2312" w:hAnsi="仿宋" w:hint="eastAsia"/>
          <w:bCs/>
          <w:sz w:val="32"/>
          <w:szCs w:val="32"/>
        </w:rPr>
        <w:t>平方公里</w:t>
      </w:r>
      <w:r>
        <w:rPr>
          <w:rFonts w:ascii="仿宋_GB2312" w:eastAsia="仿宋_GB2312" w:hAnsi="仿宋"/>
          <w:bCs/>
          <w:sz w:val="32"/>
          <w:szCs w:val="32"/>
        </w:rPr>
        <w:t>。</w:t>
      </w:r>
    </w:p>
    <w:p w:rsidR="00573D03" w:rsidRDefault="00F163A3">
      <w:pPr>
        <w:spacing w:line="58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在规划预调方面，提出分类分批将储备土地中的发展备用地和商业用地等调整为居住用地。在不影响城市韧性前提下，可对不符合城市发展需求的各</w:t>
      </w:r>
      <w:proofErr w:type="gramStart"/>
      <w:r>
        <w:rPr>
          <w:rFonts w:ascii="仿宋_GB2312" w:eastAsia="仿宋_GB2312" w:hAnsi="仿宋" w:hint="eastAsia"/>
          <w:bCs/>
          <w:sz w:val="32"/>
          <w:szCs w:val="32"/>
        </w:rPr>
        <w:t>类控制</w:t>
      </w:r>
      <w:proofErr w:type="gramEnd"/>
      <w:r>
        <w:rPr>
          <w:rFonts w:ascii="仿宋_GB2312" w:eastAsia="仿宋_GB2312" w:hAnsi="仿宋" w:hint="eastAsia"/>
          <w:bCs/>
          <w:sz w:val="32"/>
          <w:szCs w:val="32"/>
        </w:rPr>
        <w:t>线进行优化，释放用地潜力增加居住用地供给。同时，明确市场商品住房涉及的规划调整由市规划和自然资源局统一报批，公共住房涉及的规划调整由各区自然资源主管部门直接审批。</w:t>
      </w:r>
    </w:p>
    <w:p w:rsidR="00573D03" w:rsidRDefault="00F163A3">
      <w:pPr>
        <w:spacing w:line="58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（七）有序扩大租赁住房用地供给</w:t>
      </w:r>
    </w:p>
    <w:p w:rsidR="00573D03" w:rsidRDefault="00F163A3">
      <w:pPr>
        <w:spacing w:line="58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落实中央</w:t>
      </w:r>
      <w:r w:rsidR="00A5231C">
        <w:rPr>
          <w:rFonts w:ascii="仿宋_GB2312" w:eastAsia="仿宋_GB2312" w:hAnsi="仿宋" w:hint="eastAsia"/>
          <w:bCs/>
          <w:sz w:val="32"/>
          <w:szCs w:val="32"/>
        </w:rPr>
        <w:t>经济</w:t>
      </w:r>
      <w:r>
        <w:rPr>
          <w:rFonts w:ascii="仿宋_GB2312" w:eastAsia="仿宋_GB2312" w:hAnsi="仿宋" w:hint="eastAsia"/>
          <w:bCs/>
          <w:sz w:val="32"/>
          <w:szCs w:val="32"/>
        </w:rPr>
        <w:t>工作会议精神，一是明确要求将租赁住房用地计划单列。二是按照保障性租赁住房主要通过协议或划拨方式供应，商品性租赁住房通过市场方式建设，提出创新租赁住房用地供应和竞拍模式增加租</w:t>
      </w:r>
      <w:r>
        <w:rPr>
          <w:rFonts w:ascii="仿宋_GB2312" w:eastAsia="仿宋_GB2312" w:hAnsi="仿宋" w:hint="eastAsia"/>
          <w:bCs/>
          <w:sz w:val="32"/>
          <w:szCs w:val="32"/>
        </w:rPr>
        <w:t>赁住房供给。三是明确符合《深圳市落实住房制度改革加快住房用地供应的暂行规定》（</w:t>
      </w:r>
      <w:proofErr w:type="gramStart"/>
      <w:r>
        <w:rPr>
          <w:rFonts w:ascii="仿宋_GB2312" w:eastAsia="仿宋_GB2312" w:hAnsi="仿宋" w:hint="eastAsia"/>
          <w:bCs/>
          <w:sz w:val="32"/>
          <w:szCs w:val="32"/>
        </w:rPr>
        <w:t>深规划资源规</w:t>
      </w:r>
      <w:proofErr w:type="gramEnd"/>
      <w:r>
        <w:rPr>
          <w:rFonts w:ascii="仿宋_GB2312" w:eastAsia="仿宋_GB2312" w:hAnsi="仿宋" w:hint="eastAsia"/>
          <w:bCs/>
          <w:sz w:val="32"/>
          <w:szCs w:val="32"/>
        </w:rPr>
        <w:t>〔</w:t>
      </w:r>
      <w:r>
        <w:rPr>
          <w:rFonts w:ascii="仿宋_GB2312" w:eastAsia="仿宋_GB2312" w:hAnsi="仿宋" w:hint="eastAsia"/>
          <w:bCs/>
          <w:sz w:val="32"/>
          <w:szCs w:val="32"/>
        </w:rPr>
        <w:t>2020</w:t>
      </w:r>
      <w:r>
        <w:rPr>
          <w:rFonts w:ascii="仿宋_GB2312" w:eastAsia="仿宋_GB2312" w:hAnsi="仿宋" w:hint="eastAsia"/>
          <w:bCs/>
          <w:sz w:val="32"/>
          <w:szCs w:val="32"/>
        </w:rPr>
        <w:t>〕</w:t>
      </w:r>
      <w:r>
        <w:rPr>
          <w:rFonts w:ascii="仿宋_GB2312" w:eastAsia="仿宋_GB2312" w:hAnsi="仿宋" w:hint="eastAsia"/>
          <w:bCs/>
          <w:sz w:val="32"/>
          <w:szCs w:val="32"/>
        </w:rPr>
        <w:t>3</w:t>
      </w:r>
      <w:r>
        <w:rPr>
          <w:rFonts w:ascii="仿宋_GB2312" w:eastAsia="仿宋_GB2312" w:hAnsi="仿宋" w:hint="eastAsia"/>
          <w:bCs/>
          <w:sz w:val="32"/>
          <w:szCs w:val="32"/>
        </w:rPr>
        <w:t>号，以下简称《暂行规定》）的存量用地，除建设出售的公共住房外，也可建设全年期自持的租赁商品住房。</w:t>
      </w:r>
    </w:p>
    <w:p w:rsidR="00573D03" w:rsidRDefault="00F163A3">
      <w:pPr>
        <w:spacing w:line="58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（八）促进留用土地开发建设</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对于原批准用途为居住的土地整备留用地，可提高开发强度，超批复规模部分可用于建设可售的公共住房。该规定与《暂行规定》中第十条已出让未建用地建设出售的公共住房的相关规定衔接。对于原批准用途为商业的土地整备留用地，可申请将部分或全部商业建筑面积调整为居住用途。由</w:t>
      </w:r>
      <w:r>
        <w:rPr>
          <w:rFonts w:ascii="仿宋_GB2312" w:eastAsia="仿宋_GB2312" w:hAnsi="仿宋" w:hint="eastAsia"/>
          <w:bCs/>
          <w:color w:val="000000" w:themeColor="text1"/>
          <w:sz w:val="32"/>
          <w:szCs w:val="32"/>
        </w:rPr>
        <w:lastRenderedPageBreak/>
        <w:t>于安居型商品房和人才住房无</w:t>
      </w:r>
      <w:r>
        <w:rPr>
          <w:rFonts w:ascii="仿宋_GB2312" w:eastAsia="仿宋_GB2312" w:hAnsi="仿宋" w:hint="eastAsia"/>
          <w:bCs/>
          <w:color w:val="000000" w:themeColor="text1"/>
          <w:sz w:val="32"/>
          <w:szCs w:val="32"/>
        </w:rPr>
        <w:t>法作为回迁用房进行安置，考虑到原农村集体经济组织回迁安置的需要，</w:t>
      </w:r>
      <w:proofErr w:type="gramStart"/>
      <w:r>
        <w:rPr>
          <w:rFonts w:ascii="仿宋_GB2312" w:eastAsia="仿宋_GB2312" w:hAnsi="仿宋" w:hint="eastAsia"/>
          <w:bCs/>
          <w:color w:val="000000" w:themeColor="text1"/>
          <w:sz w:val="32"/>
          <w:szCs w:val="32"/>
        </w:rPr>
        <w:t>本措施</w:t>
      </w:r>
      <w:proofErr w:type="gramEnd"/>
      <w:r>
        <w:rPr>
          <w:rFonts w:ascii="仿宋_GB2312" w:eastAsia="仿宋_GB2312" w:hAnsi="仿宋" w:hint="eastAsia"/>
          <w:bCs/>
          <w:color w:val="000000" w:themeColor="text1"/>
          <w:sz w:val="32"/>
          <w:szCs w:val="32"/>
        </w:rPr>
        <w:t>按照调整建筑面积的</w:t>
      </w:r>
      <w:r>
        <w:rPr>
          <w:rFonts w:ascii="仿宋_GB2312" w:eastAsia="仿宋_GB2312" w:hAnsi="仿宋" w:hint="eastAsia"/>
          <w:bCs/>
          <w:color w:val="000000" w:themeColor="text1"/>
          <w:sz w:val="32"/>
          <w:szCs w:val="32"/>
        </w:rPr>
        <w:t>30%</w:t>
      </w:r>
      <w:r>
        <w:rPr>
          <w:rFonts w:ascii="仿宋_GB2312" w:eastAsia="仿宋_GB2312" w:hAnsi="仿宋" w:hint="eastAsia"/>
          <w:bCs/>
          <w:color w:val="000000" w:themeColor="text1"/>
          <w:sz w:val="32"/>
          <w:szCs w:val="32"/>
        </w:rPr>
        <w:t>确定商品住房面积，其余住宅建筑面积作为出售的公共住房。按出售的公共住房</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安居型商品房或人才房</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为一般商品住房</w:t>
      </w:r>
      <w:r>
        <w:rPr>
          <w:rFonts w:ascii="仿宋_GB2312" w:eastAsia="仿宋_GB2312" w:hAnsi="仿宋" w:hint="eastAsia"/>
          <w:bCs/>
          <w:color w:val="000000" w:themeColor="text1"/>
          <w:sz w:val="32"/>
          <w:szCs w:val="32"/>
        </w:rPr>
        <w:t>5</w:t>
      </w:r>
      <w:r>
        <w:rPr>
          <w:rFonts w:ascii="仿宋_GB2312" w:eastAsia="仿宋_GB2312" w:hAnsi="仿宋" w:hint="eastAsia"/>
          <w:bCs/>
          <w:color w:val="000000" w:themeColor="text1"/>
          <w:sz w:val="32"/>
          <w:szCs w:val="32"/>
        </w:rPr>
        <w:t>-6</w:t>
      </w:r>
      <w:r>
        <w:rPr>
          <w:rFonts w:ascii="仿宋_GB2312" w:eastAsia="仿宋_GB2312" w:hAnsi="仿宋" w:hint="eastAsia"/>
          <w:bCs/>
          <w:color w:val="000000" w:themeColor="text1"/>
          <w:sz w:val="32"/>
          <w:szCs w:val="32"/>
        </w:rPr>
        <w:t>折价格、商业办公价格按一般商品住房</w:t>
      </w:r>
      <w:r>
        <w:rPr>
          <w:rFonts w:ascii="仿宋_GB2312" w:eastAsia="仿宋_GB2312" w:hAnsi="仿宋" w:hint="eastAsia"/>
          <w:bCs/>
          <w:color w:val="000000" w:themeColor="text1"/>
          <w:sz w:val="32"/>
          <w:szCs w:val="32"/>
        </w:rPr>
        <w:t>7</w:t>
      </w:r>
      <w:r>
        <w:rPr>
          <w:rFonts w:ascii="仿宋_GB2312" w:eastAsia="仿宋_GB2312" w:hAnsi="仿宋" w:hint="eastAsia"/>
          <w:bCs/>
          <w:color w:val="000000" w:themeColor="text1"/>
          <w:sz w:val="32"/>
          <w:szCs w:val="32"/>
        </w:rPr>
        <w:t>折测算，“</w:t>
      </w:r>
      <w:r>
        <w:rPr>
          <w:rFonts w:ascii="仿宋_GB2312" w:eastAsia="仿宋_GB2312" w:hAnsi="仿宋" w:hint="eastAsia"/>
          <w:bCs/>
          <w:color w:val="000000" w:themeColor="text1"/>
          <w:sz w:val="32"/>
          <w:szCs w:val="32"/>
        </w:rPr>
        <w:t>30%</w:t>
      </w:r>
      <w:r>
        <w:rPr>
          <w:rFonts w:ascii="仿宋_GB2312" w:eastAsia="仿宋_GB2312" w:hAnsi="仿宋" w:hint="eastAsia"/>
          <w:bCs/>
          <w:color w:val="000000" w:themeColor="text1"/>
          <w:sz w:val="32"/>
          <w:szCs w:val="32"/>
        </w:rPr>
        <w:t>商品房</w:t>
      </w:r>
      <w:r>
        <w:rPr>
          <w:rFonts w:ascii="仿宋_GB2312" w:eastAsia="仿宋_GB2312" w:hAnsi="仿宋" w:hint="eastAsia"/>
          <w:bCs/>
          <w:color w:val="000000" w:themeColor="text1"/>
          <w:sz w:val="32"/>
          <w:szCs w:val="32"/>
        </w:rPr>
        <w:t>+70%</w:t>
      </w:r>
      <w:r>
        <w:rPr>
          <w:rFonts w:ascii="仿宋_GB2312" w:eastAsia="仿宋_GB2312" w:hAnsi="仿宋" w:hint="eastAsia"/>
          <w:bCs/>
          <w:color w:val="000000" w:themeColor="text1"/>
          <w:sz w:val="32"/>
          <w:szCs w:val="32"/>
        </w:rPr>
        <w:t>安居型商品房”较原商业办公价值</w:t>
      </w:r>
      <w:r>
        <w:rPr>
          <w:rFonts w:ascii="仿宋_GB2312" w:eastAsia="仿宋_GB2312" w:hAnsi="仿宋" w:hint="eastAsia"/>
          <w:bCs/>
          <w:color w:val="000000" w:themeColor="text1"/>
          <w:sz w:val="32"/>
          <w:szCs w:val="32"/>
        </w:rPr>
        <w:t>大致相当</w:t>
      </w:r>
      <w:r>
        <w:rPr>
          <w:rFonts w:ascii="仿宋_GB2312" w:eastAsia="仿宋_GB2312" w:hAnsi="仿宋" w:hint="eastAsia"/>
          <w:bCs/>
          <w:color w:val="000000" w:themeColor="text1"/>
          <w:sz w:val="32"/>
          <w:szCs w:val="32"/>
        </w:rPr>
        <w:t>，</w:t>
      </w:r>
      <w:r>
        <w:rPr>
          <w:rFonts w:ascii="仿宋_GB2312" w:eastAsia="仿宋_GB2312" w:hAnsi="仿宋" w:hint="eastAsia"/>
          <w:bCs/>
          <w:color w:val="000000" w:themeColor="text1"/>
          <w:sz w:val="32"/>
          <w:szCs w:val="32"/>
        </w:rPr>
        <w:t>考虑住宅销售周期短、回笼资金快，更受市场欢迎。因此，价值相当的前提下，市场建设住房的积极性更高</w:t>
      </w:r>
      <w:r>
        <w:rPr>
          <w:rFonts w:ascii="仿宋_GB2312" w:eastAsia="仿宋_GB2312" w:hAnsi="仿宋" w:hint="eastAsia"/>
          <w:bCs/>
          <w:color w:val="000000" w:themeColor="text1"/>
          <w:sz w:val="32"/>
          <w:szCs w:val="32"/>
        </w:rPr>
        <w:t>。</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此外，《若干措施》明确了整备留用地办理用地手续的时间要求，并要求在实施协议中明确，如不能按期办理土地手续地价将予以递增。</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hint="eastAsia"/>
          <w:b/>
          <w:bCs/>
          <w:color w:val="000000" w:themeColor="text1"/>
          <w:sz w:val="32"/>
          <w:szCs w:val="32"/>
        </w:rPr>
        <w:t>（九）引导未批规划更新项目建设住宅</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以分类引导为原则，以保障公共住房为前提，鼓励尚未批准城市更新单元规划的项目（</w:t>
      </w:r>
      <w:proofErr w:type="gramStart"/>
      <w:r>
        <w:rPr>
          <w:rFonts w:ascii="仿宋_GB2312" w:eastAsia="仿宋_GB2312" w:hAnsi="仿宋" w:hint="eastAsia"/>
          <w:bCs/>
          <w:color w:val="000000" w:themeColor="text1"/>
          <w:sz w:val="32"/>
          <w:szCs w:val="32"/>
        </w:rPr>
        <w:t>含尚未</w:t>
      </w:r>
      <w:proofErr w:type="gramEnd"/>
      <w:r>
        <w:rPr>
          <w:rFonts w:ascii="仿宋_GB2312" w:eastAsia="仿宋_GB2312" w:hAnsi="仿宋" w:hint="eastAsia"/>
          <w:bCs/>
          <w:color w:val="000000" w:themeColor="text1"/>
          <w:sz w:val="32"/>
          <w:szCs w:val="32"/>
        </w:rPr>
        <w:t>列入更新单元计划项目，</w:t>
      </w:r>
      <w:r w:rsidR="00497891">
        <w:rPr>
          <w:rFonts w:ascii="仿宋_GB2312" w:eastAsia="仿宋_GB2312" w:hAnsi="仿宋"/>
          <w:bCs/>
          <w:sz w:val="32"/>
          <w:szCs w:val="32"/>
        </w:rPr>
        <w:t>小地块</w:t>
      </w:r>
      <w:r w:rsidR="00497891">
        <w:rPr>
          <w:rFonts w:ascii="仿宋_GB2312" w:eastAsia="仿宋_GB2312" w:hAnsi="仿宋" w:hint="eastAsia"/>
          <w:bCs/>
          <w:sz w:val="32"/>
          <w:szCs w:val="32"/>
        </w:rPr>
        <w:t>城市更新</w:t>
      </w:r>
      <w:r w:rsidR="00497891">
        <w:rPr>
          <w:rFonts w:ascii="仿宋_GB2312" w:eastAsia="仿宋_GB2312" w:hAnsi="仿宋"/>
          <w:bCs/>
          <w:sz w:val="32"/>
          <w:szCs w:val="32"/>
        </w:rPr>
        <w:t>项目除外</w:t>
      </w:r>
      <w:r>
        <w:rPr>
          <w:rFonts w:ascii="仿宋_GB2312" w:eastAsia="仿宋_GB2312" w:hAnsi="仿宋" w:hint="eastAsia"/>
          <w:bCs/>
          <w:color w:val="000000" w:themeColor="text1"/>
          <w:sz w:val="32"/>
          <w:szCs w:val="32"/>
        </w:rPr>
        <w:t>），通过调整更新方向或所在片区法定图则主导功能，提高居住用地空间保障力度，提高公共住房供应能力，具体措施如下：</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一是鼓励原计划公告更新方向或法定图则主导功能为居住的，将更新单元规划确定的开发建设用地调整为居住功能，并按现行政策配建公共住房。在确保规划合理性的前提下提升审批效率，因该类情形与更新单元计划和法定图则的主导功能一致，故无须调整更新单元计划和法定图则。</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二是拓宽城市更新建设公共住房渠道。进一步优化存量</w:t>
      </w:r>
      <w:r>
        <w:rPr>
          <w:rFonts w:ascii="仿宋_GB2312" w:eastAsia="仿宋_GB2312" w:hAnsi="仿宋" w:hint="eastAsia"/>
          <w:bCs/>
          <w:color w:val="000000" w:themeColor="text1"/>
          <w:sz w:val="32"/>
          <w:szCs w:val="32"/>
        </w:rPr>
        <w:lastRenderedPageBreak/>
        <w:t>建设用地结构，鼓励原计划公告更新方向或法定图则主导功能为商业的，将项目更新方向调整为居住方向后，按照现行的《深圳市拆除重建类城市更新单元规划容积率审查规定》（</w:t>
      </w:r>
      <w:proofErr w:type="gramStart"/>
      <w:r>
        <w:rPr>
          <w:rFonts w:ascii="仿宋_GB2312" w:eastAsia="仿宋_GB2312" w:hAnsi="仿宋" w:hint="eastAsia"/>
          <w:bCs/>
          <w:color w:val="000000" w:themeColor="text1"/>
          <w:sz w:val="32"/>
          <w:szCs w:val="32"/>
        </w:rPr>
        <w:t>深规划资源规</w:t>
      </w:r>
      <w:proofErr w:type="gramEnd"/>
      <w:r>
        <w:rPr>
          <w:rFonts w:ascii="仿宋" w:eastAsia="仿宋" w:hAnsi="仿宋" w:hint="eastAsia"/>
          <w:bCs/>
          <w:color w:val="000000" w:themeColor="text1"/>
          <w:sz w:val="32"/>
          <w:szCs w:val="32"/>
        </w:rPr>
        <w:t>〔</w:t>
      </w:r>
      <w:r>
        <w:rPr>
          <w:rFonts w:ascii="仿宋_GB2312" w:eastAsia="仿宋_GB2312" w:hAnsi="仿宋" w:hint="eastAsia"/>
          <w:bCs/>
          <w:color w:val="000000" w:themeColor="text1"/>
          <w:sz w:val="32"/>
          <w:szCs w:val="32"/>
        </w:rPr>
        <w:t>2019</w:t>
      </w:r>
      <w:r>
        <w:rPr>
          <w:rFonts w:ascii="仿宋" w:eastAsia="仿宋" w:hAnsi="仿宋" w:hint="eastAsia"/>
          <w:bCs/>
          <w:color w:val="000000" w:themeColor="text1"/>
          <w:sz w:val="32"/>
          <w:szCs w:val="32"/>
        </w:rPr>
        <w:t>〕</w:t>
      </w:r>
      <w:r>
        <w:rPr>
          <w:rFonts w:ascii="仿宋_GB2312" w:eastAsia="仿宋_GB2312" w:hAnsi="仿宋" w:hint="eastAsia"/>
          <w:bCs/>
          <w:color w:val="000000" w:themeColor="text1"/>
          <w:sz w:val="32"/>
          <w:szCs w:val="32"/>
        </w:rPr>
        <w:t>1</w:t>
      </w:r>
      <w:r>
        <w:rPr>
          <w:rFonts w:ascii="仿宋_GB2312" w:eastAsia="仿宋_GB2312" w:hAnsi="仿宋" w:hint="eastAsia"/>
          <w:bCs/>
          <w:color w:val="000000" w:themeColor="text1"/>
          <w:sz w:val="32"/>
          <w:szCs w:val="32"/>
        </w:rPr>
        <w:t>号，以下简称《审查规定》）等</w:t>
      </w:r>
      <w:r>
        <w:rPr>
          <w:rFonts w:ascii="仿宋_GB2312" w:eastAsia="仿宋_GB2312" w:hAnsi="仿宋" w:hint="eastAsia"/>
          <w:bCs/>
          <w:color w:val="000000" w:themeColor="text1"/>
          <w:sz w:val="32"/>
          <w:szCs w:val="32"/>
        </w:rPr>
        <w:t>政策核算规划容积，其中出售的公共住房不低于规划容积（不含公共配套设施）的</w:t>
      </w:r>
      <w:r>
        <w:rPr>
          <w:rFonts w:ascii="仿宋_GB2312" w:eastAsia="仿宋_GB2312" w:hAnsi="仿宋" w:hint="eastAsia"/>
          <w:bCs/>
          <w:color w:val="000000" w:themeColor="text1"/>
          <w:sz w:val="32"/>
          <w:szCs w:val="32"/>
        </w:rPr>
        <w:t>60%</w:t>
      </w:r>
      <w:r>
        <w:rPr>
          <w:rFonts w:ascii="仿宋_GB2312" w:eastAsia="仿宋_GB2312" w:hAnsi="仿宋" w:hint="eastAsia"/>
          <w:bCs/>
          <w:color w:val="000000" w:themeColor="text1"/>
          <w:sz w:val="32"/>
          <w:szCs w:val="32"/>
        </w:rPr>
        <w:t>。同时，以利益平衡为原则，通过引入商品性质建筑面积核算系数，明确实施主体可取得商品性质住房的容积“上限”。</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其中，要求该类型改造项目改造后的规划容积中绝大部分以公共住房为主（不低于</w:t>
      </w:r>
      <w:r>
        <w:rPr>
          <w:rFonts w:ascii="仿宋_GB2312" w:eastAsia="仿宋_GB2312" w:hAnsi="仿宋" w:hint="eastAsia"/>
          <w:bCs/>
          <w:color w:val="000000" w:themeColor="text1"/>
          <w:sz w:val="32"/>
          <w:szCs w:val="32"/>
        </w:rPr>
        <w:t>60%</w:t>
      </w:r>
      <w:r>
        <w:rPr>
          <w:rFonts w:ascii="仿宋_GB2312" w:eastAsia="仿宋_GB2312" w:hAnsi="仿宋" w:hint="eastAsia"/>
          <w:bCs/>
          <w:color w:val="000000" w:themeColor="text1"/>
          <w:sz w:val="32"/>
          <w:szCs w:val="32"/>
        </w:rPr>
        <w:t>），一方面体现了规划功能调整以公共住房改造为主的公共政策属性，另一方面考虑到项目调整为居住前其规划功能商业价值相对较高，市场主体需要回迁的商品性质住房建筑</w:t>
      </w:r>
      <w:proofErr w:type="gramStart"/>
      <w:r>
        <w:rPr>
          <w:rFonts w:ascii="仿宋_GB2312" w:eastAsia="仿宋_GB2312" w:hAnsi="仿宋" w:hint="eastAsia"/>
          <w:bCs/>
          <w:color w:val="000000" w:themeColor="text1"/>
          <w:sz w:val="32"/>
          <w:szCs w:val="32"/>
        </w:rPr>
        <w:t>量需求</w:t>
      </w:r>
      <w:proofErr w:type="gramEnd"/>
      <w:r>
        <w:rPr>
          <w:rFonts w:ascii="仿宋_GB2312" w:eastAsia="仿宋_GB2312" w:hAnsi="仿宋" w:hint="eastAsia"/>
          <w:bCs/>
          <w:color w:val="000000" w:themeColor="text1"/>
          <w:sz w:val="32"/>
          <w:szCs w:val="32"/>
        </w:rPr>
        <w:t>一般相对于“工改保”可能更高，因此</w:t>
      </w:r>
      <w:proofErr w:type="gramStart"/>
      <w:r>
        <w:rPr>
          <w:rFonts w:ascii="仿宋_GB2312" w:eastAsia="仿宋_GB2312" w:hAnsi="仿宋" w:hint="eastAsia"/>
          <w:bCs/>
          <w:color w:val="000000" w:themeColor="text1"/>
          <w:sz w:val="32"/>
          <w:szCs w:val="32"/>
        </w:rPr>
        <w:t>本措施</w:t>
      </w:r>
      <w:proofErr w:type="gramEnd"/>
      <w:r>
        <w:rPr>
          <w:rFonts w:ascii="仿宋_GB2312" w:eastAsia="仿宋_GB2312" w:hAnsi="仿宋" w:hint="eastAsia"/>
          <w:bCs/>
          <w:color w:val="000000" w:themeColor="text1"/>
          <w:sz w:val="32"/>
          <w:szCs w:val="32"/>
        </w:rPr>
        <w:t>设置的实施主体可取得的商品性质建筑面积比例在《关</w:t>
      </w:r>
      <w:r>
        <w:rPr>
          <w:rFonts w:ascii="仿宋_GB2312" w:eastAsia="仿宋_GB2312" w:hAnsi="仿宋" w:hint="eastAsia"/>
          <w:bCs/>
          <w:color w:val="000000" w:themeColor="text1"/>
          <w:sz w:val="32"/>
          <w:szCs w:val="32"/>
        </w:rPr>
        <w:t>于加强和改进城市更新实施工作暂行措施》（深府办</w:t>
      </w:r>
      <w:r>
        <w:rPr>
          <w:rFonts w:ascii="仿宋" w:eastAsia="仿宋" w:hAnsi="仿宋" w:hint="eastAsia"/>
          <w:bCs/>
          <w:color w:val="000000" w:themeColor="text1"/>
          <w:sz w:val="32"/>
          <w:szCs w:val="32"/>
        </w:rPr>
        <w:t>〔</w:t>
      </w:r>
      <w:r>
        <w:rPr>
          <w:rFonts w:ascii="仿宋_GB2312" w:eastAsia="仿宋_GB2312" w:hAnsi="仿宋" w:hint="eastAsia"/>
          <w:bCs/>
          <w:color w:val="000000" w:themeColor="text1"/>
          <w:sz w:val="32"/>
          <w:szCs w:val="32"/>
        </w:rPr>
        <w:t>2016</w:t>
      </w:r>
      <w:r>
        <w:rPr>
          <w:rFonts w:ascii="仿宋" w:eastAsia="仿宋" w:hAnsi="仿宋" w:hint="eastAsia"/>
          <w:bCs/>
          <w:color w:val="000000" w:themeColor="text1"/>
          <w:sz w:val="32"/>
          <w:szCs w:val="32"/>
        </w:rPr>
        <w:t>〕</w:t>
      </w:r>
      <w:r>
        <w:rPr>
          <w:rFonts w:ascii="仿宋_GB2312" w:eastAsia="仿宋_GB2312" w:hAnsi="仿宋" w:hint="eastAsia"/>
          <w:bCs/>
          <w:color w:val="000000" w:themeColor="text1"/>
          <w:sz w:val="32"/>
          <w:szCs w:val="32"/>
        </w:rPr>
        <w:t>38</w:t>
      </w:r>
      <w:r>
        <w:rPr>
          <w:rFonts w:ascii="仿宋_GB2312" w:eastAsia="仿宋_GB2312" w:hAnsi="仿宋" w:hint="eastAsia"/>
          <w:bCs/>
          <w:color w:val="000000" w:themeColor="text1"/>
          <w:sz w:val="32"/>
          <w:szCs w:val="32"/>
        </w:rPr>
        <w:t>号，以下简称《暂行措施》）提出的“工改保”的基础上做了适度提高。此外，在统筹考虑项目所在区位、现状功能及开发强度以及合理开发利润等因素前提下，通过测试设定实施主体可取得的商品性质建筑面积核算系数，将市场主体可取得的商品性质建筑面积与现状建筑面积挂钩，一方面满足项目基本的回迁需求，另一方面将在一定程度上实现调节更新项目肥瘦不均的功能，比如对于改造前现状容积率较低的地区，其改造后取得商品性质建筑面积也将相应减少，与此相对的项目配置的出售公共住房比例将</w:t>
      </w:r>
      <w:r>
        <w:rPr>
          <w:rFonts w:ascii="仿宋_GB2312" w:eastAsia="仿宋_GB2312" w:hAnsi="仿宋" w:hint="eastAsia"/>
          <w:bCs/>
          <w:color w:val="000000" w:themeColor="text1"/>
          <w:sz w:val="32"/>
          <w:szCs w:val="32"/>
        </w:rPr>
        <w:t>在</w:t>
      </w:r>
      <w:r>
        <w:rPr>
          <w:rFonts w:ascii="仿宋_GB2312" w:eastAsia="仿宋_GB2312" w:hAnsi="仿宋" w:hint="eastAsia"/>
          <w:bCs/>
          <w:color w:val="000000" w:themeColor="text1"/>
          <w:sz w:val="32"/>
          <w:szCs w:val="32"/>
        </w:rPr>
        <w:lastRenderedPageBreak/>
        <w:t>60%</w:t>
      </w:r>
      <w:r>
        <w:rPr>
          <w:rFonts w:ascii="仿宋_GB2312" w:eastAsia="仿宋_GB2312" w:hAnsi="仿宋" w:hint="eastAsia"/>
          <w:bCs/>
          <w:color w:val="000000" w:themeColor="text1"/>
          <w:sz w:val="32"/>
          <w:szCs w:val="32"/>
        </w:rPr>
        <w:t>的基础上进一步提高，有助于均衡现状不同开发强度地区的利润水平，促进项目精细化管理。</w:t>
      </w:r>
    </w:p>
    <w:p w:rsidR="00573D03" w:rsidRDefault="00F163A3">
      <w:pPr>
        <w:spacing w:line="580" w:lineRule="exact"/>
        <w:ind w:firstLineChars="200" w:firstLine="643"/>
        <w:rPr>
          <w:rFonts w:ascii="仿宋_GB2312" w:eastAsia="仿宋_GB2312" w:hAnsi="仿宋"/>
          <w:bCs/>
          <w:color w:val="000000" w:themeColor="text1"/>
          <w:sz w:val="32"/>
          <w:szCs w:val="32"/>
        </w:rPr>
      </w:pPr>
      <w:r>
        <w:rPr>
          <w:rFonts w:ascii="仿宋_GB2312" w:eastAsia="仿宋_GB2312" w:hAnsi="仿宋" w:hint="eastAsia"/>
          <w:b/>
          <w:bCs/>
          <w:color w:val="000000" w:themeColor="text1"/>
          <w:sz w:val="32"/>
          <w:szCs w:val="32"/>
        </w:rPr>
        <w:t>（十）引导已批规划更新项目建设住宅</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鼓励更新单元规划已经批准但尚未签订土地使用权出让合同的城市更新项目（</w:t>
      </w:r>
      <w:proofErr w:type="gramStart"/>
      <w:r>
        <w:rPr>
          <w:rFonts w:ascii="仿宋_GB2312" w:eastAsia="仿宋_GB2312" w:hAnsi="仿宋" w:hint="eastAsia"/>
          <w:bCs/>
          <w:color w:val="000000" w:themeColor="text1"/>
          <w:sz w:val="32"/>
          <w:szCs w:val="32"/>
        </w:rPr>
        <w:t>区块线</w:t>
      </w:r>
      <w:proofErr w:type="gramEnd"/>
      <w:r>
        <w:rPr>
          <w:rFonts w:ascii="仿宋_GB2312" w:eastAsia="仿宋_GB2312" w:hAnsi="仿宋" w:hint="eastAsia"/>
          <w:bCs/>
          <w:color w:val="000000" w:themeColor="text1"/>
          <w:sz w:val="32"/>
          <w:szCs w:val="32"/>
        </w:rPr>
        <w:t>内或适用小地块政策的项目除外），在保持原批准规划容积不变的前提下将已批商业建筑面积全部或部分调整为出售的公共住房。对位于已建、在建及已纳入近期建设规划的轨道站点</w:t>
      </w:r>
      <w:r>
        <w:rPr>
          <w:rFonts w:ascii="仿宋_GB2312" w:eastAsia="仿宋_GB2312" w:hAnsi="仿宋"/>
          <w:bCs/>
          <w:color w:val="000000" w:themeColor="text1"/>
          <w:sz w:val="32"/>
          <w:szCs w:val="32"/>
        </w:rPr>
        <w:t>500</w:t>
      </w:r>
      <w:r>
        <w:rPr>
          <w:rFonts w:ascii="仿宋_GB2312" w:eastAsia="仿宋_GB2312" w:hAnsi="仿宋"/>
          <w:bCs/>
          <w:color w:val="000000" w:themeColor="text1"/>
          <w:sz w:val="32"/>
          <w:szCs w:val="32"/>
        </w:rPr>
        <w:t>米范围内的项目</w:t>
      </w:r>
      <w:r>
        <w:rPr>
          <w:rFonts w:ascii="仿宋_GB2312" w:eastAsia="仿宋_GB2312" w:hAnsi="仿宋" w:hint="eastAsia"/>
          <w:bCs/>
          <w:color w:val="000000" w:themeColor="text1"/>
          <w:sz w:val="32"/>
          <w:szCs w:val="32"/>
        </w:rPr>
        <w:t>予以规划调整弹性，可对项目更新方向或规划容积进行调整，增加的住宅建筑面积全部用于建设出售的公共住房，进一步加大公共住房的供应规模。</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hint="eastAsia"/>
          <w:b/>
          <w:bCs/>
          <w:color w:val="000000" w:themeColor="text1"/>
          <w:sz w:val="32"/>
          <w:szCs w:val="32"/>
        </w:rPr>
        <w:t>（十一）加快推进城中村改造</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为进一步挖掘城中村潜力，《若干措施》进一步优化了城中村改造政策。</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一是适度降低城中村改造项目计划申报门槛。允许以现状居住用地为主的城中村拆除重建改造项目的拆除范围内权属清晰的合法土地面积比例（以下简称合法用地比例）不足</w:t>
      </w:r>
      <w:r>
        <w:rPr>
          <w:rFonts w:ascii="仿宋_GB2312" w:eastAsia="仿宋_GB2312" w:hAnsi="仿宋"/>
          <w:bCs/>
          <w:color w:val="000000" w:themeColor="text1"/>
          <w:sz w:val="32"/>
          <w:szCs w:val="32"/>
        </w:rPr>
        <w:t>60%</w:t>
      </w:r>
      <w:r>
        <w:rPr>
          <w:rFonts w:ascii="仿宋_GB2312" w:eastAsia="仿宋_GB2312" w:hAnsi="仿宋"/>
          <w:bCs/>
          <w:color w:val="000000" w:themeColor="text1"/>
          <w:sz w:val="32"/>
          <w:szCs w:val="32"/>
        </w:rPr>
        <w:t>但不低于</w:t>
      </w:r>
      <w:r>
        <w:rPr>
          <w:rFonts w:ascii="仿宋_GB2312" w:eastAsia="仿宋_GB2312" w:hAnsi="仿宋"/>
          <w:bCs/>
          <w:color w:val="000000" w:themeColor="text1"/>
          <w:sz w:val="32"/>
          <w:szCs w:val="32"/>
        </w:rPr>
        <w:t>30%</w:t>
      </w:r>
      <w:r>
        <w:rPr>
          <w:rFonts w:ascii="仿宋_GB2312" w:eastAsia="仿宋_GB2312" w:hAnsi="仿宋"/>
          <w:bCs/>
          <w:color w:val="000000" w:themeColor="text1"/>
          <w:sz w:val="32"/>
          <w:szCs w:val="32"/>
        </w:rPr>
        <w:t>的，拆除范围内的</w:t>
      </w:r>
      <w:proofErr w:type="gramStart"/>
      <w:r>
        <w:rPr>
          <w:rFonts w:ascii="仿宋_GB2312" w:eastAsia="仿宋_GB2312" w:hAnsi="仿宋"/>
          <w:bCs/>
          <w:color w:val="000000" w:themeColor="text1"/>
          <w:sz w:val="32"/>
          <w:szCs w:val="32"/>
        </w:rPr>
        <w:t>历史违建可</w:t>
      </w:r>
      <w:proofErr w:type="gramEnd"/>
      <w:r>
        <w:rPr>
          <w:rFonts w:ascii="仿宋_GB2312" w:eastAsia="仿宋_GB2312" w:hAnsi="仿宋"/>
          <w:bCs/>
          <w:color w:val="000000" w:themeColor="text1"/>
          <w:sz w:val="32"/>
          <w:szCs w:val="32"/>
        </w:rPr>
        <w:t>按规定申请简易处理</w:t>
      </w:r>
      <w:r>
        <w:rPr>
          <w:rFonts w:ascii="仿宋_GB2312" w:eastAsia="仿宋_GB2312" w:hAnsi="仿宋" w:hint="eastAsia"/>
          <w:bCs/>
          <w:color w:val="000000" w:themeColor="text1"/>
          <w:sz w:val="32"/>
          <w:szCs w:val="32"/>
        </w:rPr>
        <w:t>。一方面</w:t>
      </w:r>
      <w:r w:rsidR="006057D9">
        <w:rPr>
          <w:rFonts w:ascii="仿宋_GB2312" w:eastAsia="仿宋_GB2312" w:hAnsi="仿宋" w:hint="eastAsia"/>
          <w:bCs/>
          <w:color w:val="000000" w:themeColor="text1"/>
          <w:sz w:val="32"/>
          <w:szCs w:val="32"/>
        </w:rPr>
        <w:t>《若干措施》</w:t>
      </w:r>
      <w:bookmarkStart w:id="0" w:name="_GoBack"/>
      <w:bookmarkEnd w:id="0"/>
      <w:r>
        <w:rPr>
          <w:rFonts w:ascii="仿宋_GB2312" w:eastAsia="仿宋_GB2312" w:hAnsi="仿宋" w:hint="eastAsia"/>
          <w:bCs/>
          <w:color w:val="000000" w:themeColor="text1"/>
          <w:sz w:val="32"/>
          <w:szCs w:val="32"/>
        </w:rPr>
        <w:t>维持了《暂行措施》提出的</w:t>
      </w:r>
      <w:r>
        <w:rPr>
          <w:rFonts w:ascii="仿宋_GB2312" w:eastAsia="仿宋_GB2312" w:hAnsi="仿宋" w:hint="eastAsia"/>
          <w:bCs/>
          <w:color w:val="000000" w:themeColor="text1"/>
          <w:sz w:val="32"/>
          <w:szCs w:val="32"/>
        </w:rPr>
        <w:t>60%</w:t>
      </w:r>
      <w:r>
        <w:rPr>
          <w:rFonts w:ascii="仿宋_GB2312" w:eastAsia="仿宋_GB2312" w:hAnsi="仿宋" w:hint="eastAsia"/>
          <w:bCs/>
          <w:color w:val="000000" w:themeColor="text1"/>
          <w:sz w:val="32"/>
          <w:szCs w:val="32"/>
        </w:rPr>
        <w:t>合法比例的要求，保证城中村有序更新，另一方面通过适度降低简易处理的门槛，有助于部分符合条件的项目通过实施城中村改造，增加住房供应。</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二是优化城中村改造项目规划</w:t>
      </w:r>
      <w:r>
        <w:rPr>
          <w:rFonts w:ascii="仿宋_GB2312" w:eastAsia="仿宋_GB2312" w:hAnsi="仿宋" w:hint="eastAsia"/>
          <w:bCs/>
          <w:color w:val="000000" w:themeColor="text1"/>
          <w:sz w:val="32"/>
          <w:szCs w:val="32"/>
        </w:rPr>
        <w:t>容积核算规则。为进一步加快城中村改造进程，提升城中村居住品质，充分考虑城中</w:t>
      </w:r>
      <w:r>
        <w:rPr>
          <w:rFonts w:ascii="仿宋_GB2312" w:eastAsia="仿宋_GB2312" w:hAnsi="仿宋" w:hint="eastAsia"/>
          <w:bCs/>
          <w:color w:val="000000" w:themeColor="text1"/>
          <w:sz w:val="32"/>
          <w:szCs w:val="32"/>
        </w:rPr>
        <w:lastRenderedPageBreak/>
        <w:t>村实际情况，在充分衔接《审查规定》第八条的基础上，提出城中村改造项目在综合考虑项目区位、住房回迁、项目可实施性等因素前提下，按照利益平衡的原则，可选择通过适用净拆建比校核系数确定规划容积，并优化了公共住房配建要求，一方面对于推动部分现状开发强度较高而确有改造必要的项目进行城市更新具有积极意义，将引导项目更多的配置住宅建筑面积加大住房供应，另一方面也将降低此类改造项目的商业建筑面积，促进项目建筑功能的优化调整，推动城中村改造效率与品质的</w:t>
      </w:r>
      <w:r>
        <w:rPr>
          <w:rFonts w:ascii="仿宋_GB2312" w:eastAsia="仿宋_GB2312" w:hAnsi="仿宋" w:hint="eastAsia"/>
          <w:bCs/>
          <w:color w:val="000000" w:themeColor="text1"/>
          <w:sz w:val="32"/>
          <w:szCs w:val="32"/>
        </w:rPr>
        <w:t>双提升。</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此外，为了更公平地推进城中村改造《若干措施》对城中村现状容积率进行了分段处置，现状容积率</w:t>
      </w:r>
      <w:r>
        <w:rPr>
          <w:rFonts w:ascii="仿宋_GB2312" w:eastAsia="仿宋_GB2312" w:hAnsi="仿宋" w:hint="eastAsia"/>
          <w:bCs/>
          <w:color w:val="000000" w:themeColor="text1"/>
          <w:sz w:val="32"/>
          <w:szCs w:val="32"/>
        </w:rPr>
        <w:t>2.5</w:t>
      </w:r>
      <w:r>
        <w:rPr>
          <w:rFonts w:ascii="仿宋_GB2312" w:eastAsia="仿宋_GB2312" w:hAnsi="仿宋" w:hint="eastAsia"/>
          <w:bCs/>
          <w:color w:val="000000" w:themeColor="text1"/>
          <w:sz w:val="32"/>
          <w:szCs w:val="32"/>
        </w:rPr>
        <w:t>至</w:t>
      </w:r>
      <w:r>
        <w:rPr>
          <w:rFonts w:ascii="仿宋_GB2312" w:eastAsia="仿宋_GB2312" w:hAnsi="仿宋" w:hint="eastAsia"/>
          <w:bCs/>
          <w:color w:val="000000" w:themeColor="text1"/>
          <w:sz w:val="32"/>
          <w:szCs w:val="32"/>
        </w:rPr>
        <w:t>3.0</w:t>
      </w:r>
      <w:r>
        <w:rPr>
          <w:rFonts w:ascii="仿宋_GB2312" w:eastAsia="仿宋_GB2312" w:hAnsi="仿宋" w:hint="eastAsia"/>
          <w:bCs/>
          <w:color w:val="000000" w:themeColor="text1"/>
          <w:sz w:val="32"/>
          <w:szCs w:val="32"/>
        </w:rPr>
        <w:t>的现状建筑面积，按照</w:t>
      </w:r>
      <w:r>
        <w:rPr>
          <w:rFonts w:ascii="仿宋_GB2312" w:eastAsia="仿宋_GB2312" w:hAnsi="仿宋" w:hint="eastAsia"/>
          <w:bCs/>
          <w:color w:val="000000" w:themeColor="text1"/>
          <w:sz w:val="32"/>
          <w:szCs w:val="32"/>
        </w:rPr>
        <w:t>50%</w:t>
      </w:r>
      <w:r>
        <w:rPr>
          <w:rFonts w:ascii="仿宋_GB2312" w:eastAsia="仿宋_GB2312" w:hAnsi="仿宋" w:hint="eastAsia"/>
          <w:bCs/>
          <w:color w:val="000000" w:themeColor="text1"/>
          <w:sz w:val="32"/>
          <w:szCs w:val="32"/>
        </w:rPr>
        <w:t>核算拆除建筑面积，容积率超出</w:t>
      </w:r>
      <w:r>
        <w:rPr>
          <w:rFonts w:ascii="仿宋_GB2312" w:eastAsia="仿宋_GB2312" w:hAnsi="仿宋" w:hint="eastAsia"/>
          <w:bCs/>
          <w:color w:val="000000" w:themeColor="text1"/>
          <w:sz w:val="32"/>
          <w:szCs w:val="32"/>
        </w:rPr>
        <w:t>3.0</w:t>
      </w:r>
      <w:r>
        <w:rPr>
          <w:rFonts w:ascii="仿宋_GB2312" w:eastAsia="仿宋_GB2312" w:hAnsi="仿宋" w:hint="eastAsia"/>
          <w:bCs/>
          <w:color w:val="000000" w:themeColor="text1"/>
          <w:sz w:val="32"/>
          <w:szCs w:val="32"/>
        </w:rPr>
        <w:t>的部分不计入拆除建筑面积，通过控制实施主体可取得的拆建量抑制现实中存在的不尽合理的“超建越多补偿越多”的现象。</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此外，鼓励位于《深圳市城中村（旧村）综合整治总体规划（</w:t>
      </w:r>
      <w:r>
        <w:rPr>
          <w:rFonts w:ascii="仿宋_GB2312" w:eastAsia="仿宋_GB2312" w:hAnsi="仿宋"/>
          <w:bCs/>
          <w:color w:val="000000" w:themeColor="text1"/>
          <w:sz w:val="32"/>
          <w:szCs w:val="32"/>
        </w:rPr>
        <w:t>2019-2025</w:t>
      </w:r>
      <w:r>
        <w:rPr>
          <w:rFonts w:ascii="仿宋_GB2312" w:eastAsia="仿宋_GB2312" w:hAnsi="仿宋"/>
          <w:bCs/>
          <w:color w:val="000000" w:themeColor="text1"/>
          <w:sz w:val="32"/>
          <w:szCs w:val="32"/>
        </w:rPr>
        <w:t>）》综合整治分区的城中村实施综合整治类城市更新并进行规模化租赁改造，</w:t>
      </w:r>
      <w:r>
        <w:rPr>
          <w:rFonts w:ascii="仿宋_GB2312" w:eastAsia="仿宋_GB2312" w:hAnsi="仿宋" w:hint="eastAsia"/>
          <w:bCs/>
          <w:color w:val="000000" w:themeColor="text1"/>
          <w:sz w:val="32"/>
          <w:szCs w:val="32"/>
        </w:rPr>
        <w:t>纳入我市租赁市场进行规范管理。</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hint="eastAsia"/>
          <w:b/>
          <w:bCs/>
          <w:color w:val="000000" w:themeColor="text1"/>
          <w:sz w:val="32"/>
          <w:szCs w:val="32"/>
        </w:rPr>
        <w:t>（十二）加快旧住宅区拆除改造</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《若干措施》衔接了《深圳经</w:t>
      </w:r>
      <w:r>
        <w:rPr>
          <w:rFonts w:ascii="仿宋_GB2312" w:eastAsia="仿宋_GB2312" w:hAnsi="仿宋" w:hint="eastAsia"/>
          <w:bCs/>
          <w:color w:val="000000" w:themeColor="text1"/>
          <w:sz w:val="32"/>
          <w:szCs w:val="32"/>
        </w:rPr>
        <w:t>济特区城市更新条例》，鼓励符合条件的旧住宅区成片统筹改造，坚持政府主导，市场参与的原则，完善我市旧住宅区拆除改造政策，允许配建一定比例的商品住房，参照鹿丹村模式公开选择市场主体，</w:t>
      </w:r>
      <w:r>
        <w:rPr>
          <w:rFonts w:ascii="仿宋_GB2312" w:eastAsia="仿宋_GB2312" w:hAnsi="仿宋" w:hint="eastAsia"/>
          <w:bCs/>
          <w:color w:val="000000" w:themeColor="text1"/>
          <w:sz w:val="32"/>
          <w:szCs w:val="32"/>
        </w:rPr>
        <w:lastRenderedPageBreak/>
        <w:t>也提高了旧住宅区改造的经济可行性。</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hint="eastAsia"/>
          <w:b/>
          <w:bCs/>
          <w:color w:val="000000" w:themeColor="text1"/>
          <w:sz w:val="32"/>
          <w:szCs w:val="32"/>
        </w:rPr>
        <w:t>（十三）盘活存量用房潜力</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color w:val="000000" w:themeColor="text1"/>
          <w:sz w:val="32"/>
          <w:szCs w:val="32"/>
        </w:rPr>
        <w:t>为进一步调整我市住房结构，《若干措施》</w:t>
      </w:r>
      <w:proofErr w:type="gramStart"/>
      <w:r>
        <w:rPr>
          <w:rFonts w:ascii="仿宋_GB2312" w:eastAsia="仿宋_GB2312" w:hAnsi="仿宋" w:hint="eastAsia"/>
          <w:bCs/>
          <w:color w:val="000000" w:themeColor="text1"/>
          <w:sz w:val="32"/>
          <w:szCs w:val="32"/>
        </w:rPr>
        <w:t>鼓励自</w:t>
      </w:r>
      <w:proofErr w:type="gramEnd"/>
      <w:r>
        <w:rPr>
          <w:rFonts w:ascii="仿宋_GB2312" w:eastAsia="仿宋_GB2312" w:hAnsi="仿宋" w:hint="eastAsia"/>
          <w:bCs/>
          <w:color w:val="000000" w:themeColor="text1"/>
          <w:sz w:val="32"/>
          <w:szCs w:val="32"/>
        </w:rPr>
        <w:t>有住房</w:t>
      </w:r>
      <w:r>
        <w:rPr>
          <w:rFonts w:ascii="仿宋_GB2312" w:eastAsia="仿宋_GB2312" w:hAnsi="仿宋" w:hint="eastAsia"/>
          <w:bCs/>
          <w:sz w:val="32"/>
          <w:szCs w:val="32"/>
        </w:rPr>
        <w:t>（不包括政策性住房及全年期自持的租赁商品住房）</w:t>
      </w:r>
      <w:r>
        <w:rPr>
          <w:rFonts w:ascii="仿宋_GB2312" w:eastAsia="仿宋_GB2312" w:hAnsi="仿宋" w:hint="eastAsia"/>
          <w:bCs/>
          <w:color w:val="000000" w:themeColor="text1"/>
          <w:sz w:val="32"/>
          <w:szCs w:val="32"/>
        </w:rPr>
        <w:t>补缴地价后转为公共住房或商品住房。</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hint="eastAsia"/>
          <w:b/>
          <w:bCs/>
          <w:color w:val="000000" w:themeColor="text1"/>
          <w:sz w:val="32"/>
          <w:szCs w:val="32"/>
        </w:rPr>
        <w:t>（十四）加强组织保障</w:t>
      </w:r>
    </w:p>
    <w:p w:rsidR="00573D03" w:rsidRDefault="00F163A3">
      <w:pPr>
        <w:spacing w:line="580" w:lineRule="exact"/>
        <w:ind w:firstLineChars="200" w:firstLine="640"/>
        <w:rPr>
          <w:rFonts w:ascii="仿宋_GB2312" w:eastAsia="仿宋_GB2312" w:hAnsi="仿宋"/>
          <w:bCs/>
          <w:color w:val="000000" w:themeColor="text1"/>
          <w:sz w:val="32"/>
          <w:szCs w:val="32"/>
        </w:rPr>
      </w:pPr>
      <w:r>
        <w:rPr>
          <w:rFonts w:ascii="仿宋_GB2312" w:eastAsia="仿宋_GB2312" w:hAnsi="仿宋" w:hint="eastAsia"/>
          <w:bCs/>
          <w:sz w:val="32"/>
          <w:szCs w:val="32"/>
        </w:rPr>
        <w:t>为确保居住用地供应工作有序开展，《若干措施》进一步明确了各部门职责，并提出通过建立目标责任制、考核评价体系等措施来保障居住用地供给</w:t>
      </w:r>
      <w:r>
        <w:rPr>
          <w:rFonts w:ascii="仿宋_GB2312" w:eastAsia="仿宋_GB2312" w:hAnsi="仿宋" w:hint="eastAsia"/>
          <w:bCs/>
          <w:color w:val="000000" w:themeColor="text1"/>
          <w:sz w:val="32"/>
          <w:szCs w:val="32"/>
        </w:rPr>
        <w:t>。</w:t>
      </w:r>
    </w:p>
    <w:p w:rsidR="00573D03" w:rsidRDefault="00F163A3">
      <w:pPr>
        <w:spacing w:line="580" w:lineRule="exact"/>
        <w:ind w:firstLineChars="200" w:firstLine="643"/>
        <w:rPr>
          <w:rFonts w:ascii="仿宋_GB2312" w:eastAsia="仿宋_GB2312" w:hAnsi="仿宋"/>
          <w:b/>
          <w:bCs/>
          <w:color w:val="000000" w:themeColor="text1"/>
          <w:sz w:val="32"/>
          <w:szCs w:val="32"/>
        </w:rPr>
      </w:pPr>
      <w:r>
        <w:rPr>
          <w:rFonts w:ascii="仿宋_GB2312" w:eastAsia="仿宋_GB2312" w:hAnsi="仿宋" w:hint="eastAsia"/>
          <w:b/>
          <w:bCs/>
          <w:color w:val="000000" w:themeColor="text1"/>
          <w:sz w:val="32"/>
          <w:szCs w:val="32"/>
        </w:rPr>
        <w:t>（十五）其他</w:t>
      </w:r>
    </w:p>
    <w:p w:rsidR="00573D03" w:rsidRDefault="00F163A3">
      <w:pPr>
        <w:spacing w:line="58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bCs/>
          <w:sz w:val="32"/>
          <w:szCs w:val="32"/>
        </w:rPr>
        <w:t>明确了</w:t>
      </w:r>
      <w:proofErr w:type="gramStart"/>
      <w:r>
        <w:rPr>
          <w:rFonts w:ascii="仿宋_GB2312" w:eastAsia="仿宋_GB2312" w:hAnsi="仿宋" w:hint="eastAsia"/>
          <w:bCs/>
          <w:sz w:val="32"/>
          <w:szCs w:val="32"/>
        </w:rPr>
        <w:t>本措施</w:t>
      </w:r>
      <w:proofErr w:type="gramEnd"/>
      <w:r>
        <w:rPr>
          <w:rFonts w:ascii="仿宋_GB2312" w:eastAsia="仿宋_GB2312" w:hAnsi="仿宋" w:hint="eastAsia"/>
          <w:bCs/>
          <w:sz w:val="32"/>
          <w:szCs w:val="32"/>
        </w:rPr>
        <w:t>的</w:t>
      </w:r>
      <w:r>
        <w:rPr>
          <w:rFonts w:ascii="仿宋_GB2312" w:eastAsia="仿宋_GB2312" w:hAnsi="仿宋" w:hint="eastAsia"/>
          <w:bCs/>
          <w:sz w:val="32"/>
          <w:szCs w:val="32"/>
        </w:rPr>
        <w:t>有效期，同时对新旧项目与《若干措施》的衔接进行了规定，《若干措施》施行前规划已经市规划部门和各区（新区）审议通过或建设用地规划许可已经市规划部门派出机构审批通过的项目不适用第三、第十一条规定。</w:t>
      </w:r>
    </w:p>
    <w:sectPr w:rsidR="00573D03">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3A3" w:rsidRDefault="00F163A3">
      <w:r>
        <w:separator/>
      </w:r>
    </w:p>
  </w:endnote>
  <w:endnote w:type="continuationSeparator" w:id="0">
    <w:p w:rsidR="00F163A3" w:rsidRDefault="00F16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小标宋简体">
    <w:altName w:val="黑体"/>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471534"/>
    </w:sdtPr>
    <w:sdtEndPr/>
    <w:sdtContent>
      <w:sdt>
        <w:sdtPr>
          <w:id w:val="-1669238322"/>
        </w:sdtPr>
        <w:sdtEndPr/>
        <w:sdtContent>
          <w:p w:rsidR="00573D03" w:rsidRDefault="00F163A3">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6057D9">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057D9">
              <w:rPr>
                <w:b/>
                <w:bCs/>
                <w:noProof/>
              </w:rPr>
              <w:t>11</w:t>
            </w:r>
            <w:r>
              <w:rPr>
                <w:b/>
                <w:bCs/>
                <w:sz w:val="24"/>
                <w:szCs w:val="24"/>
              </w:rPr>
              <w:fldChar w:fldCharType="end"/>
            </w:r>
          </w:p>
        </w:sdtContent>
      </w:sdt>
    </w:sdtContent>
  </w:sdt>
  <w:p w:rsidR="00573D03" w:rsidRDefault="00573D0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3A3" w:rsidRDefault="00F163A3">
      <w:r>
        <w:separator/>
      </w:r>
    </w:p>
  </w:footnote>
  <w:footnote w:type="continuationSeparator" w:id="0">
    <w:p w:rsidR="00F163A3" w:rsidRDefault="00F163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65E"/>
    <w:rsid w:val="0000143B"/>
    <w:rsid w:val="000103D8"/>
    <w:rsid w:val="00011546"/>
    <w:rsid w:val="00011B07"/>
    <w:rsid w:val="00011C0E"/>
    <w:rsid w:val="000122B3"/>
    <w:rsid w:val="0001651A"/>
    <w:rsid w:val="00017129"/>
    <w:rsid w:val="00020D6A"/>
    <w:rsid w:val="0002498D"/>
    <w:rsid w:val="00024B06"/>
    <w:rsid w:val="00026104"/>
    <w:rsid w:val="000268C7"/>
    <w:rsid w:val="00026B63"/>
    <w:rsid w:val="000301F2"/>
    <w:rsid w:val="00032DD1"/>
    <w:rsid w:val="000333A6"/>
    <w:rsid w:val="00033A33"/>
    <w:rsid w:val="00035A6E"/>
    <w:rsid w:val="000421AF"/>
    <w:rsid w:val="00045A6A"/>
    <w:rsid w:val="00050331"/>
    <w:rsid w:val="00051366"/>
    <w:rsid w:val="00057E2D"/>
    <w:rsid w:val="00061D6C"/>
    <w:rsid w:val="00063B63"/>
    <w:rsid w:val="00063D0B"/>
    <w:rsid w:val="0006655C"/>
    <w:rsid w:val="00066F01"/>
    <w:rsid w:val="00066FD7"/>
    <w:rsid w:val="00067E2A"/>
    <w:rsid w:val="00074F29"/>
    <w:rsid w:val="00077B0B"/>
    <w:rsid w:val="00081160"/>
    <w:rsid w:val="00082ABD"/>
    <w:rsid w:val="0008780A"/>
    <w:rsid w:val="00090408"/>
    <w:rsid w:val="0009048F"/>
    <w:rsid w:val="0009469C"/>
    <w:rsid w:val="000A208C"/>
    <w:rsid w:val="000A4F8A"/>
    <w:rsid w:val="000A78B3"/>
    <w:rsid w:val="000A7A30"/>
    <w:rsid w:val="000B45C8"/>
    <w:rsid w:val="000B5868"/>
    <w:rsid w:val="000B7F23"/>
    <w:rsid w:val="000C17CE"/>
    <w:rsid w:val="000C19A2"/>
    <w:rsid w:val="000C27D9"/>
    <w:rsid w:val="000C4710"/>
    <w:rsid w:val="000C6002"/>
    <w:rsid w:val="000D6254"/>
    <w:rsid w:val="000D7B7C"/>
    <w:rsid w:val="000E2B46"/>
    <w:rsid w:val="000E52D0"/>
    <w:rsid w:val="000E5AEB"/>
    <w:rsid w:val="000E682C"/>
    <w:rsid w:val="000F2C69"/>
    <w:rsid w:val="000F33E6"/>
    <w:rsid w:val="000F6AA1"/>
    <w:rsid w:val="00100A50"/>
    <w:rsid w:val="00103EC0"/>
    <w:rsid w:val="00105BE9"/>
    <w:rsid w:val="00107B8C"/>
    <w:rsid w:val="00107E49"/>
    <w:rsid w:val="001110D6"/>
    <w:rsid w:val="0011173A"/>
    <w:rsid w:val="00112C09"/>
    <w:rsid w:val="00114599"/>
    <w:rsid w:val="0011608B"/>
    <w:rsid w:val="00117B60"/>
    <w:rsid w:val="0012354C"/>
    <w:rsid w:val="00123D5D"/>
    <w:rsid w:val="001266B7"/>
    <w:rsid w:val="00126C0C"/>
    <w:rsid w:val="001272DE"/>
    <w:rsid w:val="00133A80"/>
    <w:rsid w:val="00135586"/>
    <w:rsid w:val="00135CC8"/>
    <w:rsid w:val="001371E3"/>
    <w:rsid w:val="0013776F"/>
    <w:rsid w:val="00137E97"/>
    <w:rsid w:val="001424CA"/>
    <w:rsid w:val="00147204"/>
    <w:rsid w:val="00160101"/>
    <w:rsid w:val="00161F5F"/>
    <w:rsid w:val="00165D88"/>
    <w:rsid w:val="00171239"/>
    <w:rsid w:val="001779A8"/>
    <w:rsid w:val="0018515C"/>
    <w:rsid w:val="00191AD6"/>
    <w:rsid w:val="001921C1"/>
    <w:rsid w:val="001A6C2D"/>
    <w:rsid w:val="001A7031"/>
    <w:rsid w:val="001B1909"/>
    <w:rsid w:val="001B1D55"/>
    <w:rsid w:val="001B338A"/>
    <w:rsid w:val="001B3B57"/>
    <w:rsid w:val="001B7346"/>
    <w:rsid w:val="001B7403"/>
    <w:rsid w:val="001C1FCB"/>
    <w:rsid w:val="001C1FDF"/>
    <w:rsid w:val="001C294A"/>
    <w:rsid w:val="001D2E0A"/>
    <w:rsid w:val="001E1316"/>
    <w:rsid w:val="001E413C"/>
    <w:rsid w:val="001E69F2"/>
    <w:rsid w:val="00206135"/>
    <w:rsid w:val="0021165E"/>
    <w:rsid w:val="00212821"/>
    <w:rsid w:val="0021729D"/>
    <w:rsid w:val="002247C0"/>
    <w:rsid w:val="00224FE9"/>
    <w:rsid w:val="00227006"/>
    <w:rsid w:val="002311A0"/>
    <w:rsid w:val="002354AD"/>
    <w:rsid w:val="002472ED"/>
    <w:rsid w:val="00256965"/>
    <w:rsid w:val="0027252F"/>
    <w:rsid w:val="00275FEA"/>
    <w:rsid w:val="00281CD6"/>
    <w:rsid w:val="00285DD9"/>
    <w:rsid w:val="00291AA1"/>
    <w:rsid w:val="002960CE"/>
    <w:rsid w:val="002A0D9D"/>
    <w:rsid w:val="002A124A"/>
    <w:rsid w:val="002A320B"/>
    <w:rsid w:val="002A61AB"/>
    <w:rsid w:val="002A6AAA"/>
    <w:rsid w:val="002B198E"/>
    <w:rsid w:val="002B27A8"/>
    <w:rsid w:val="002B44FF"/>
    <w:rsid w:val="002B6F37"/>
    <w:rsid w:val="002B7D2C"/>
    <w:rsid w:val="002C6498"/>
    <w:rsid w:val="002C725F"/>
    <w:rsid w:val="002D01C9"/>
    <w:rsid w:val="002D2610"/>
    <w:rsid w:val="002D455E"/>
    <w:rsid w:val="002E116E"/>
    <w:rsid w:val="002E3095"/>
    <w:rsid w:val="002E34D6"/>
    <w:rsid w:val="002E3778"/>
    <w:rsid w:val="002E4B82"/>
    <w:rsid w:val="002F15B1"/>
    <w:rsid w:val="002F2356"/>
    <w:rsid w:val="002F2857"/>
    <w:rsid w:val="002F5C1F"/>
    <w:rsid w:val="003004D0"/>
    <w:rsid w:val="00300FF7"/>
    <w:rsid w:val="00305C31"/>
    <w:rsid w:val="00305E5B"/>
    <w:rsid w:val="00305F38"/>
    <w:rsid w:val="00310227"/>
    <w:rsid w:val="00311111"/>
    <w:rsid w:val="003129B8"/>
    <w:rsid w:val="00321020"/>
    <w:rsid w:val="00330FD2"/>
    <w:rsid w:val="00331709"/>
    <w:rsid w:val="00332E02"/>
    <w:rsid w:val="00333262"/>
    <w:rsid w:val="00335374"/>
    <w:rsid w:val="00337B52"/>
    <w:rsid w:val="0034009D"/>
    <w:rsid w:val="00342834"/>
    <w:rsid w:val="0034533B"/>
    <w:rsid w:val="003472BD"/>
    <w:rsid w:val="00350622"/>
    <w:rsid w:val="003612B7"/>
    <w:rsid w:val="00363FC0"/>
    <w:rsid w:val="003653E2"/>
    <w:rsid w:val="00366C18"/>
    <w:rsid w:val="003677D6"/>
    <w:rsid w:val="003765FD"/>
    <w:rsid w:val="00376EB8"/>
    <w:rsid w:val="00377E6E"/>
    <w:rsid w:val="0038615B"/>
    <w:rsid w:val="003900B8"/>
    <w:rsid w:val="003900E1"/>
    <w:rsid w:val="00391B1A"/>
    <w:rsid w:val="00392EE6"/>
    <w:rsid w:val="00394CA8"/>
    <w:rsid w:val="003A1742"/>
    <w:rsid w:val="003B4236"/>
    <w:rsid w:val="003B48E7"/>
    <w:rsid w:val="003B7490"/>
    <w:rsid w:val="003C0EC7"/>
    <w:rsid w:val="003C3DF0"/>
    <w:rsid w:val="003C77F5"/>
    <w:rsid w:val="003D012C"/>
    <w:rsid w:val="003D2A3B"/>
    <w:rsid w:val="003D6052"/>
    <w:rsid w:val="003D7F71"/>
    <w:rsid w:val="003E45AD"/>
    <w:rsid w:val="003E5266"/>
    <w:rsid w:val="003F0B04"/>
    <w:rsid w:val="003F3DB2"/>
    <w:rsid w:val="003F4AF2"/>
    <w:rsid w:val="003F5CF5"/>
    <w:rsid w:val="003F6A05"/>
    <w:rsid w:val="00405731"/>
    <w:rsid w:val="004057C5"/>
    <w:rsid w:val="004107D1"/>
    <w:rsid w:val="004107ED"/>
    <w:rsid w:val="00410807"/>
    <w:rsid w:val="00411C93"/>
    <w:rsid w:val="00415965"/>
    <w:rsid w:val="00422266"/>
    <w:rsid w:val="00423179"/>
    <w:rsid w:val="00431D96"/>
    <w:rsid w:val="004343D7"/>
    <w:rsid w:val="004346B4"/>
    <w:rsid w:val="00444BFD"/>
    <w:rsid w:val="004461E0"/>
    <w:rsid w:val="004467D6"/>
    <w:rsid w:val="00447723"/>
    <w:rsid w:val="0045536F"/>
    <w:rsid w:val="004572CF"/>
    <w:rsid w:val="00465465"/>
    <w:rsid w:val="00467AC3"/>
    <w:rsid w:val="00471223"/>
    <w:rsid w:val="00474AB1"/>
    <w:rsid w:val="00493AE2"/>
    <w:rsid w:val="00494109"/>
    <w:rsid w:val="0049687A"/>
    <w:rsid w:val="00497891"/>
    <w:rsid w:val="004A068C"/>
    <w:rsid w:val="004A7E68"/>
    <w:rsid w:val="004B2961"/>
    <w:rsid w:val="004B4D32"/>
    <w:rsid w:val="004B5AC9"/>
    <w:rsid w:val="004B5CE9"/>
    <w:rsid w:val="004C294F"/>
    <w:rsid w:val="004C72D8"/>
    <w:rsid w:val="004D01E8"/>
    <w:rsid w:val="004D0A49"/>
    <w:rsid w:val="004D12E3"/>
    <w:rsid w:val="004D27F3"/>
    <w:rsid w:val="004D498A"/>
    <w:rsid w:val="004E1830"/>
    <w:rsid w:val="004E2187"/>
    <w:rsid w:val="004E456B"/>
    <w:rsid w:val="004F5AFD"/>
    <w:rsid w:val="0050085F"/>
    <w:rsid w:val="00501B3A"/>
    <w:rsid w:val="00506FB8"/>
    <w:rsid w:val="00510C4B"/>
    <w:rsid w:val="00516515"/>
    <w:rsid w:val="00523BE4"/>
    <w:rsid w:val="00524213"/>
    <w:rsid w:val="005245F1"/>
    <w:rsid w:val="00524A71"/>
    <w:rsid w:val="00524E15"/>
    <w:rsid w:val="005258BB"/>
    <w:rsid w:val="005304BF"/>
    <w:rsid w:val="00541685"/>
    <w:rsid w:val="0055188D"/>
    <w:rsid w:val="00551BD1"/>
    <w:rsid w:val="00554E6B"/>
    <w:rsid w:val="00556B78"/>
    <w:rsid w:val="00556E3B"/>
    <w:rsid w:val="005618F0"/>
    <w:rsid w:val="005626B8"/>
    <w:rsid w:val="005664E9"/>
    <w:rsid w:val="005673F1"/>
    <w:rsid w:val="0057241D"/>
    <w:rsid w:val="00573D03"/>
    <w:rsid w:val="00575751"/>
    <w:rsid w:val="005779B5"/>
    <w:rsid w:val="005835E6"/>
    <w:rsid w:val="00584C74"/>
    <w:rsid w:val="00587BF3"/>
    <w:rsid w:val="00592994"/>
    <w:rsid w:val="00594DE9"/>
    <w:rsid w:val="00595421"/>
    <w:rsid w:val="00595CCF"/>
    <w:rsid w:val="00596B4D"/>
    <w:rsid w:val="005A500D"/>
    <w:rsid w:val="005B01F3"/>
    <w:rsid w:val="005B0DD1"/>
    <w:rsid w:val="005B22BF"/>
    <w:rsid w:val="005C024F"/>
    <w:rsid w:val="005C477D"/>
    <w:rsid w:val="005C7854"/>
    <w:rsid w:val="005D257E"/>
    <w:rsid w:val="005D6216"/>
    <w:rsid w:val="005E01FC"/>
    <w:rsid w:val="005E3E14"/>
    <w:rsid w:val="005E76CC"/>
    <w:rsid w:val="005F0D18"/>
    <w:rsid w:val="005F72D3"/>
    <w:rsid w:val="00602E23"/>
    <w:rsid w:val="006057D9"/>
    <w:rsid w:val="006072C2"/>
    <w:rsid w:val="00615244"/>
    <w:rsid w:val="00621C51"/>
    <w:rsid w:val="00625EF8"/>
    <w:rsid w:val="00627CDD"/>
    <w:rsid w:val="00630DA1"/>
    <w:rsid w:val="0063401A"/>
    <w:rsid w:val="006354B9"/>
    <w:rsid w:val="00641A76"/>
    <w:rsid w:val="00641A93"/>
    <w:rsid w:val="006429FD"/>
    <w:rsid w:val="006455F9"/>
    <w:rsid w:val="00652ED8"/>
    <w:rsid w:val="006532E3"/>
    <w:rsid w:val="00657CA0"/>
    <w:rsid w:val="0066013A"/>
    <w:rsid w:val="00663810"/>
    <w:rsid w:val="00666B42"/>
    <w:rsid w:val="00673152"/>
    <w:rsid w:val="00677818"/>
    <w:rsid w:val="0068163C"/>
    <w:rsid w:val="00683EC3"/>
    <w:rsid w:val="00692E0F"/>
    <w:rsid w:val="00695BCB"/>
    <w:rsid w:val="006A0780"/>
    <w:rsid w:val="006A3397"/>
    <w:rsid w:val="006A36E8"/>
    <w:rsid w:val="006A3B05"/>
    <w:rsid w:val="006A4CBE"/>
    <w:rsid w:val="006A6B29"/>
    <w:rsid w:val="006B283A"/>
    <w:rsid w:val="006B2C11"/>
    <w:rsid w:val="006C0F49"/>
    <w:rsid w:val="006C364E"/>
    <w:rsid w:val="006C74FA"/>
    <w:rsid w:val="006D7C83"/>
    <w:rsid w:val="006E28AC"/>
    <w:rsid w:val="006E4055"/>
    <w:rsid w:val="006E62CE"/>
    <w:rsid w:val="006F0ECD"/>
    <w:rsid w:val="006F51A3"/>
    <w:rsid w:val="007030AB"/>
    <w:rsid w:val="00703917"/>
    <w:rsid w:val="00705DAC"/>
    <w:rsid w:val="00714EAC"/>
    <w:rsid w:val="007174B3"/>
    <w:rsid w:val="00717D66"/>
    <w:rsid w:val="00725AE0"/>
    <w:rsid w:val="00733117"/>
    <w:rsid w:val="00733345"/>
    <w:rsid w:val="007345A3"/>
    <w:rsid w:val="0073639A"/>
    <w:rsid w:val="0074087C"/>
    <w:rsid w:val="007529F5"/>
    <w:rsid w:val="007548FD"/>
    <w:rsid w:val="00756C10"/>
    <w:rsid w:val="00760979"/>
    <w:rsid w:val="00760A8C"/>
    <w:rsid w:val="00760DCF"/>
    <w:rsid w:val="007646D9"/>
    <w:rsid w:val="0076583F"/>
    <w:rsid w:val="0077714A"/>
    <w:rsid w:val="00782FD5"/>
    <w:rsid w:val="007851A2"/>
    <w:rsid w:val="007853B0"/>
    <w:rsid w:val="007913E6"/>
    <w:rsid w:val="00792BAF"/>
    <w:rsid w:val="00792BBA"/>
    <w:rsid w:val="007941B9"/>
    <w:rsid w:val="0079687D"/>
    <w:rsid w:val="007A3F22"/>
    <w:rsid w:val="007A419B"/>
    <w:rsid w:val="007A76F7"/>
    <w:rsid w:val="007B1AAD"/>
    <w:rsid w:val="007B7039"/>
    <w:rsid w:val="007C32C0"/>
    <w:rsid w:val="007C5E52"/>
    <w:rsid w:val="007D1C8F"/>
    <w:rsid w:val="007D67EE"/>
    <w:rsid w:val="007E5B5B"/>
    <w:rsid w:val="007E6357"/>
    <w:rsid w:val="007F083B"/>
    <w:rsid w:val="007F1EF5"/>
    <w:rsid w:val="007F35CF"/>
    <w:rsid w:val="007F6983"/>
    <w:rsid w:val="00802B26"/>
    <w:rsid w:val="008069C1"/>
    <w:rsid w:val="008069EE"/>
    <w:rsid w:val="00815F11"/>
    <w:rsid w:val="0081647A"/>
    <w:rsid w:val="00821CB5"/>
    <w:rsid w:val="008226FD"/>
    <w:rsid w:val="008256F3"/>
    <w:rsid w:val="00826ABA"/>
    <w:rsid w:val="00827ACE"/>
    <w:rsid w:val="008360DB"/>
    <w:rsid w:val="00852F49"/>
    <w:rsid w:val="0085328B"/>
    <w:rsid w:val="00855413"/>
    <w:rsid w:val="00856059"/>
    <w:rsid w:val="00861525"/>
    <w:rsid w:val="00864BF9"/>
    <w:rsid w:val="00867431"/>
    <w:rsid w:val="00870502"/>
    <w:rsid w:val="008823DC"/>
    <w:rsid w:val="00883F30"/>
    <w:rsid w:val="00886155"/>
    <w:rsid w:val="00887755"/>
    <w:rsid w:val="00890189"/>
    <w:rsid w:val="008906F8"/>
    <w:rsid w:val="00891DEA"/>
    <w:rsid w:val="0089255B"/>
    <w:rsid w:val="00897D90"/>
    <w:rsid w:val="008A0861"/>
    <w:rsid w:val="008A1DF8"/>
    <w:rsid w:val="008A615C"/>
    <w:rsid w:val="008B0462"/>
    <w:rsid w:val="008B3DD8"/>
    <w:rsid w:val="008B4ACC"/>
    <w:rsid w:val="008B69F1"/>
    <w:rsid w:val="008B7A57"/>
    <w:rsid w:val="008C4912"/>
    <w:rsid w:val="008C5ED0"/>
    <w:rsid w:val="008C7E0A"/>
    <w:rsid w:val="008E1123"/>
    <w:rsid w:val="008E30B7"/>
    <w:rsid w:val="008E37EE"/>
    <w:rsid w:val="008E3CF3"/>
    <w:rsid w:val="008E401F"/>
    <w:rsid w:val="008F1402"/>
    <w:rsid w:val="008F1EE7"/>
    <w:rsid w:val="008F573B"/>
    <w:rsid w:val="00905CB1"/>
    <w:rsid w:val="009128CF"/>
    <w:rsid w:val="009157A0"/>
    <w:rsid w:val="009160FC"/>
    <w:rsid w:val="00916673"/>
    <w:rsid w:val="00921591"/>
    <w:rsid w:val="00922CFB"/>
    <w:rsid w:val="00927CCA"/>
    <w:rsid w:val="00934782"/>
    <w:rsid w:val="0093546D"/>
    <w:rsid w:val="009403D4"/>
    <w:rsid w:val="00940641"/>
    <w:rsid w:val="00950B79"/>
    <w:rsid w:val="009517FF"/>
    <w:rsid w:val="00954DAB"/>
    <w:rsid w:val="00956553"/>
    <w:rsid w:val="00957DA7"/>
    <w:rsid w:val="00965DBF"/>
    <w:rsid w:val="0096627F"/>
    <w:rsid w:val="009663D3"/>
    <w:rsid w:val="00970758"/>
    <w:rsid w:val="009710D4"/>
    <w:rsid w:val="0097519F"/>
    <w:rsid w:val="009765C8"/>
    <w:rsid w:val="00976F97"/>
    <w:rsid w:val="00977E2A"/>
    <w:rsid w:val="0098392F"/>
    <w:rsid w:val="00991463"/>
    <w:rsid w:val="00992DA8"/>
    <w:rsid w:val="009947F5"/>
    <w:rsid w:val="009949CD"/>
    <w:rsid w:val="0099663A"/>
    <w:rsid w:val="00996D88"/>
    <w:rsid w:val="009A11A2"/>
    <w:rsid w:val="009A32CF"/>
    <w:rsid w:val="009A590A"/>
    <w:rsid w:val="009B0839"/>
    <w:rsid w:val="009B30EB"/>
    <w:rsid w:val="009C09DF"/>
    <w:rsid w:val="009C29D8"/>
    <w:rsid w:val="009C4C67"/>
    <w:rsid w:val="009D07A4"/>
    <w:rsid w:val="009D1B8B"/>
    <w:rsid w:val="009E5935"/>
    <w:rsid w:val="009E6261"/>
    <w:rsid w:val="009F1B77"/>
    <w:rsid w:val="00A03E1E"/>
    <w:rsid w:val="00A04177"/>
    <w:rsid w:val="00A079A0"/>
    <w:rsid w:val="00A11A70"/>
    <w:rsid w:val="00A11FA5"/>
    <w:rsid w:val="00A21485"/>
    <w:rsid w:val="00A23C1D"/>
    <w:rsid w:val="00A255A2"/>
    <w:rsid w:val="00A3123A"/>
    <w:rsid w:val="00A328A9"/>
    <w:rsid w:val="00A33421"/>
    <w:rsid w:val="00A35C7E"/>
    <w:rsid w:val="00A410A9"/>
    <w:rsid w:val="00A42CB9"/>
    <w:rsid w:val="00A443B8"/>
    <w:rsid w:val="00A44B61"/>
    <w:rsid w:val="00A45484"/>
    <w:rsid w:val="00A4667F"/>
    <w:rsid w:val="00A5231C"/>
    <w:rsid w:val="00A5306B"/>
    <w:rsid w:val="00A53585"/>
    <w:rsid w:val="00A57754"/>
    <w:rsid w:val="00A639BD"/>
    <w:rsid w:val="00A64769"/>
    <w:rsid w:val="00A73FF9"/>
    <w:rsid w:val="00A804DE"/>
    <w:rsid w:val="00A817AD"/>
    <w:rsid w:val="00A903CE"/>
    <w:rsid w:val="00A90BF9"/>
    <w:rsid w:val="00A9169A"/>
    <w:rsid w:val="00A94A29"/>
    <w:rsid w:val="00A94D20"/>
    <w:rsid w:val="00AA15F1"/>
    <w:rsid w:val="00AA1EEC"/>
    <w:rsid w:val="00AA530A"/>
    <w:rsid w:val="00AA78D5"/>
    <w:rsid w:val="00AB131A"/>
    <w:rsid w:val="00AB2ECA"/>
    <w:rsid w:val="00AB5A05"/>
    <w:rsid w:val="00AD710A"/>
    <w:rsid w:val="00AE2EAE"/>
    <w:rsid w:val="00AE61BB"/>
    <w:rsid w:val="00AE7339"/>
    <w:rsid w:val="00AF29C0"/>
    <w:rsid w:val="00AF4258"/>
    <w:rsid w:val="00AF43D2"/>
    <w:rsid w:val="00AF7022"/>
    <w:rsid w:val="00B019AA"/>
    <w:rsid w:val="00B04900"/>
    <w:rsid w:val="00B05F94"/>
    <w:rsid w:val="00B10408"/>
    <w:rsid w:val="00B130C2"/>
    <w:rsid w:val="00B13313"/>
    <w:rsid w:val="00B159A2"/>
    <w:rsid w:val="00B15B90"/>
    <w:rsid w:val="00B241A4"/>
    <w:rsid w:val="00B2542B"/>
    <w:rsid w:val="00B27881"/>
    <w:rsid w:val="00B30490"/>
    <w:rsid w:val="00B45654"/>
    <w:rsid w:val="00B54245"/>
    <w:rsid w:val="00B57F8F"/>
    <w:rsid w:val="00B606B9"/>
    <w:rsid w:val="00B63352"/>
    <w:rsid w:val="00B64887"/>
    <w:rsid w:val="00B67900"/>
    <w:rsid w:val="00B73E94"/>
    <w:rsid w:val="00B802E4"/>
    <w:rsid w:val="00B816A0"/>
    <w:rsid w:val="00B82E4B"/>
    <w:rsid w:val="00B82E87"/>
    <w:rsid w:val="00B90AC1"/>
    <w:rsid w:val="00B94882"/>
    <w:rsid w:val="00B94F48"/>
    <w:rsid w:val="00B97A6B"/>
    <w:rsid w:val="00BA0F3B"/>
    <w:rsid w:val="00BA61AC"/>
    <w:rsid w:val="00BB113A"/>
    <w:rsid w:val="00BB5192"/>
    <w:rsid w:val="00BB5B66"/>
    <w:rsid w:val="00BC2E53"/>
    <w:rsid w:val="00BD0061"/>
    <w:rsid w:val="00BD6DE7"/>
    <w:rsid w:val="00BD7EC5"/>
    <w:rsid w:val="00BF6F3C"/>
    <w:rsid w:val="00C01FB6"/>
    <w:rsid w:val="00C06461"/>
    <w:rsid w:val="00C06E92"/>
    <w:rsid w:val="00C07CC9"/>
    <w:rsid w:val="00C1131A"/>
    <w:rsid w:val="00C1429E"/>
    <w:rsid w:val="00C15480"/>
    <w:rsid w:val="00C1568C"/>
    <w:rsid w:val="00C160B3"/>
    <w:rsid w:val="00C162C5"/>
    <w:rsid w:val="00C1647F"/>
    <w:rsid w:val="00C210F0"/>
    <w:rsid w:val="00C2140C"/>
    <w:rsid w:val="00C270E4"/>
    <w:rsid w:val="00C35B72"/>
    <w:rsid w:val="00C369A7"/>
    <w:rsid w:val="00C40EB4"/>
    <w:rsid w:val="00C414EF"/>
    <w:rsid w:val="00C435B1"/>
    <w:rsid w:val="00C51934"/>
    <w:rsid w:val="00C5279F"/>
    <w:rsid w:val="00C60307"/>
    <w:rsid w:val="00C638DD"/>
    <w:rsid w:val="00C65F14"/>
    <w:rsid w:val="00C6746B"/>
    <w:rsid w:val="00C70164"/>
    <w:rsid w:val="00C71C7B"/>
    <w:rsid w:val="00C71D10"/>
    <w:rsid w:val="00C726C9"/>
    <w:rsid w:val="00C73FE1"/>
    <w:rsid w:val="00C76170"/>
    <w:rsid w:val="00C861EB"/>
    <w:rsid w:val="00C861F2"/>
    <w:rsid w:val="00C87355"/>
    <w:rsid w:val="00C94487"/>
    <w:rsid w:val="00CA2839"/>
    <w:rsid w:val="00CA2A8E"/>
    <w:rsid w:val="00CA36E5"/>
    <w:rsid w:val="00CB33DE"/>
    <w:rsid w:val="00CC316E"/>
    <w:rsid w:val="00CC530B"/>
    <w:rsid w:val="00CC5C09"/>
    <w:rsid w:val="00CC7E40"/>
    <w:rsid w:val="00CD2A3E"/>
    <w:rsid w:val="00CD39B6"/>
    <w:rsid w:val="00CE1AA9"/>
    <w:rsid w:val="00CE7F7A"/>
    <w:rsid w:val="00CF25B6"/>
    <w:rsid w:val="00CF6AAE"/>
    <w:rsid w:val="00CF6BCF"/>
    <w:rsid w:val="00D15435"/>
    <w:rsid w:val="00D1605A"/>
    <w:rsid w:val="00D22151"/>
    <w:rsid w:val="00D23F4E"/>
    <w:rsid w:val="00D24221"/>
    <w:rsid w:val="00D3209F"/>
    <w:rsid w:val="00D341D5"/>
    <w:rsid w:val="00D342BD"/>
    <w:rsid w:val="00D42D7C"/>
    <w:rsid w:val="00D445CB"/>
    <w:rsid w:val="00D452AC"/>
    <w:rsid w:val="00D456A0"/>
    <w:rsid w:val="00D52E81"/>
    <w:rsid w:val="00D61EF8"/>
    <w:rsid w:val="00D6256D"/>
    <w:rsid w:val="00D63BDB"/>
    <w:rsid w:val="00D6517A"/>
    <w:rsid w:val="00D654E0"/>
    <w:rsid w:val="00D71004"/>
    <w:rsid w:val="00D736EA"/>
    <w:rsid w:val="00D744F4"/>
    <w:rsid w:val="00D74A09"/>
    <w:rsid w:val="00D803ED"/>
    <w:rsid w:val="00D80D7D"/>
    <w:rsid w:val="00D90CCA"/>
    <w:rsid w:val="00D95533"/>
    <w:rsid w:val="00D970C3"/>
    <w:rsid w:val="00DA3584"/>
    <w:rsid w:val="00DA4B6D"/>
    <w:rsid w:val="00DA57A3"/>
    <w:rsid w:val="00DA5EE4"/>
    <w:rsid w:val="00DA6E5C"/>
    <w:rsid w:val="00DB1FA3"/>
    <w:rsid w:val="00DC3E51"/>
    <w:rsid w:val="00DC6CA5"/>
    <w:rsid w:val="00DD142E"/>
    <w:rsid w:val="00DD1A7C"/>
    <w:rsid w:val="00DD41D1"/>
    <w:rsid w:val="00DE27F2"/>
    <w:rsid w:val="00DE3390"/>
    <w:rsid w:val="00DE642C"/>
    <w:rsid w:val="00DE6B10"/>
    <w:rsid w:val="00DF047B"/>
    <w:rsid w:val="00DF0928"/>
    <w:rsid w:val="00DF3825"/>
    <w:rsid w:val="00E01405"/>
    <w:rsid w:val="00E054ED"/>
    <w:rsid w:val="00E05796"/>
    <w:rsid w:val="00E1275C"/>
    <w:rsid w:val="00E16C70"/>
    <w:rsid w:val="00E229DD"/>
    <w:rsid w:val="00E22C02"/>
    <w:rsid w:val="00E24A7C"/>
    <w:rsid w:val="00E352A0"/>
    <w:rsid w:val="00E365EB"/>
    <w:rsid w:val="00E40575"/>
    <w:rsid w:val="00E41879"/>
    <w:rsid w:val="00E4192D"/>
    <w:rsid w:val="00E44EF1"/>
    <w:rsid w:val="00E453FE"/>
    <w:rsid w:val="00E551E9"/>
    <w:rsid w:val="00E55E99"/>
    <w:rsid w:val="00E56A4E"/>
    <w:rsid w:val="00E57DBC"/>
    <w:rsid w:val="00E62E60"/>
    <w:rsid w:val="00E63496"/>
    <w:rsid w:val="00E70FBD"/>
    <w:rsid w:val="00E735F9"/>
    <w:rsid w:val="00E7693A"/>
    <w:rsid w:val="00E774C4"/>
    <w:rsid w:val="00E821B6"/>
    <w:rsid w:val="00E82305"/>
    <w:rsid w:val="00E82625"/>
    <w:rsid w:val="00E8278F"/>
    <w:rsid w:val="00E85F5C"/>
    <w:rsid w:val="00E863A3"/>
    <w:rsid w:val="00E86EB8"/>
    <w:rsid w:val="00E911A4"/>
    <w:rsid w:val="00E943FC"/>
    <w:rsid w:val="00E95B16"/>
    <w:rsid w:val="00EA1A08"/>
    <w:rsid w:val="00EA3395"/>
    <w:rsid w:val="00EA51B1"/>
    <w:rsid w:val="00EB4262"/>
    <w:rsid w:val="00EB43BD"/>
    <w:rsid w:val="00EC11D7"/>
    <w:rsid w:val="00EC1319"/>
    <w:rsid w:val="00EC67BE"/>
    <w:rsid w:val="00EC7EA7"/>
    <w:rsid w:val="00ED0653"/>
    <w:rsid w:val="00ED271E"/>
    <w:rsid w:val="00ED4C40"/>
    <w:rsid w:val="00ED5BBD"/>
    <w:rsid w:val="00EF0BC5"/>
    <w:rsid w:val="00EF2FC3"/>
    <w:rsid w:val="00F02789"/>
    <w:rsid w:val="00F0562F"/>
    <w:rsid w:val="00F157FD"/>
    <w:rsid w:val="00F163A3"/>
    <w:rsid w:val="00F2333A"/>
    <w:rsid w:val="00F23B84"/>
    <w:rsid w:val="00F25C79"/>
    <w:rsid w:val="00F27F24"/>
    <w:rsid w:val="00F30F2D"/>
    <w:rsid w:val="00F32003"/>
    <w:rsid w:val="00F323CB"/>
    <w:rsid w:val="00F33870"/>
    <w:rsid w:val="00F465B3"/>
    <w:rsid w:val="00F472F2"/>
    <w:rsid w:val="00F514D7"/>
    <w:rsid w:val="00F53014"/>
    <w:rsid w:val="00F5404D"/>
    <w:rsid w:val="00F5411B"/>
    <w:rsid w:val="00F6362C"/>
    <w:rsid w:val="00F65698"/>
    <w:rsid w:val="00F721BC"/>
    <w:rsid w:val="00F74A9E"/>
    <w:rsid w:val="00F7563E"/>
    <w:rsid w:val="00F75D02"/>
    <w:rsid w:val="00F76FAC"/>
    <w:rsid w:val="00F77160"/>
    <w:rsid w:val="00F81F4C"/>
    <w:rsid w:val="00F84A5A"/>
    <w:rsid w:val="00F851C1"/>
    <w:rsid w:val="00F85E4E"/>
    <w:rsid w:val="00F86AED"/>
    <w:rsid w:val="00F908C5"/>
    <w:rsid w:val="00F946D5"/>
    <w:rsid w:val="00F95ADA"/>
    <w:rsid w:val="00F977F9"/>
    <w:rsid w:val="00FA145B"/>
    <w:rsid w:val="00FA5939"/>
    <w:rsid w:val="00FA7E35"/>
    <w:rsid w:val="00FB0330"/>
    <w:rsid w:val="00FB6FE4"/>
    <w:rsid w:val="00FC1504"/>
    <w:rsid w:val="00FC2DA1"/>
    <w:rsid w:val="00FC67CA"/>
    <w:rsid w:val="00FC6C43"/>
    <w:rsid w:val="00FD6309"/>
    <w:rsid w:val="00FE082B"/>
    <w:rsid w:val="00FE2AB2"/>
    <w:rsid w:val="00FF52DC"/>
    <w:rsid w:val="00FF7936"/>
    <w:rsid w:val="025B3973"/>
    <w:rsid w:val="02693391"/>
    <w:rsid w:val="028F5160"/>
    <w:rsid w:val="033E4557"/>
    <w:rsid w:val="10FD3F8B"/>
    <w:rsid w:val="19C859D5"/>
    <w:rsid w:val="3B2F38C7"/>
    <w:rsid w:val="3FD6292F"/>
    <w:rsid w:val="6CE522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hAnsiTheme="minorHAnsi" w:cstheme="minorBidi"/>
      <w:kern w:val="2"/>
      <w:sz w:val="21"/>
      <w:szCs w:val="22"/>
    </w:rPr>
  </w:style>
  <w:style w:type="paragraph" w:styleId="1">
    <w:name w:val="heading 1"/>
    <w:basedOn w:val="a"/>
    <w:next w:val="a"/>
    <w:link w:val="1Char"/>
    <w:uiPriority w:val="9"/>
    <w:qFormat/>
    <w:pPr>
      <w:keepNext/>
      <w:keepLines/>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rPr>
      <w:rFonts w:ascii="Times New Roman" w:eastAsia="宋体" w:hAnsi="Times New Roman" w:cs="Times New Roman"/>
      <w:szCs w:val="24"/>
    </w:rPr>
  </w:style>
  <w:style w:type="paragraph" w:styleId="a4">
    <w:name w:val="Date"/>
    <w:basedOn w:val="a"/>
    <w:next w:val="a"/>
    <w:link w:val="Char0"/>
    <w:uiPriority w:val="99"/>
    <w:semiHidden/>
    <w:unhideWhenUsed/>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rPr>
      <w:rFonts w:ascii="Times New Roman" w:hAnsi="Times New Roman" w:cs="Times New Roman"/>
      <w:sz w:val="24"/>
      <w:szCs w:val="24"/>
    </w:rPr>
  </w:style>
  <w:style w:type="table" w:styleId="a9">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
    <w:name w:val="批注文字 Char"/>
    <w:basedOn w:val="a0"/>
    <w:link w:val="a3"/>
    <w:uiPriority w:val="99"/>
    <w:rPr>
      <w:rFonts w:ascii="Times New Roman" w:eastAsia="宋体" w:hAnsi="Times New Roman" w:cs="Times New Roman"/>
      <w:szCs w:val="24"/>
    </w:rPr>
  </w:style>
  <w:style w:type="character" w:customStyle="1" w:styleId="Char1">
    <w:name w:val="批注框文本 Char"/>
    <w:basedOn w:val="a0"/>
    <w:link w:val="a5"/>
    <w:uiPriority w:val="99"/>
    <w:semiHidden/>
    <w:qFormat/>
    <w:rPr>
      <w:sz w:val="18"/>
      <w:szCs w:val="18"/>
    </w:rPr>
  </w:style>
  <w:style w:type="character" w:customStyle="1" w:styleId="1Char">
    <w:name w:val="标题 1 Char"/>
    <w:basedOn w:val="a0"/>
    <w:link w:val="1"/>
    <w:uiPriority w:val="9"/>
    <w:qFormat/>
    <w:rPr>
      <w:b/>
      <w:bCs/>
      <w:kern w:val="44"/>
      <w:sz w:val="44"/>
      <w:szCs w:val="44"/>
    </w:rPr>
  </w:style>
  <w:style w:type="paragraph" w:styleId="ab">
    <w:name w:val="List Paragraph"/>
    <w:basedOn w:val="a"/>
    <w:uiPriority w:val="34"/>
    <w:qFormat/>
    <w:pPr>
      <w:ind w:firstLineChars="200" w:firstLine="420"/>
    </w:pPr>
  </w:style>
  <w:style w:type="character" w:customStyle="1" w:styleId="Char0">
    <w:name w:val="日期 Char"/>
    <w:basedOn w:val="a0"/>
    <w:link w:val="a4"/>
    <w:uiPriority w:val="99"/>
    <w:semiHidden/>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hAnsiTheme="minorHAnsi" w:cstheme="minorBidi"/>
      <w:kern w:val="2"/>
      <w:sz w:val="21"/>
      <w:szCs w:val="22"/>
    </w:rPr>
  </w:style>
  <w:style w:type="paragraph" w:styleId="1">
    <w:name w:val="heading 1"/>
    <w:basedOn w:val="a"/>
    <w:next w:val="a"/>
    <w:link w:val="1Char"/>
    <w:uiPriority w:val="9"/>
    <w:qFormat/>
    <w:pPr>
      <w:keepNext/>
      <w:keepLines/>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rPr>
      <w:rFonts w:ascii="Times New Roman" w:eastAsia="宋体" w:hAnsi="Times New Roman" w:cs="Times New Roman"/>
      <w:szCs w:val="24"/>
    </w:rPr>
  </w:style>
  <w:style w:type="paragraph" w:styleId="a4">
    <w:name w:val="Date"/>
    <w:basedOn w:val="a"/>
    <w:next w:val="a"/>
    <w:link w:val="Char0"/>
    <w:uiPriority w:val="99"/>
    <w:semiHidden/>
    <w:unhideWhenUsed/>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rPr>
      <w:rFonts w:ascii="Times New Roman" w:hAnsi="Times New Roman" w:cs="Times New Roman"/>
      <w:sz w:val="24"/>
      <w:szCs w:val="24"/>
    </w:rPr>
  </w:style>
  <w:style w:type="table" w:styleId="a9">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
    <w:name w:val="批注文字 Char"/>
    <w:basedOn w:val="a0"/>
    <w:link w:val="a3"/>
    <w:uiPriority w:val="99"/>
    <w:rPr>
      <w:rFonts w:ascii="Times New Roman" w:eastAsia="宋体" w:hAnsi="Times New Roman" w:cs="Times New Roman"/>
      <w:szCs w:val="24"/>
    </w:rPr>
  </w:style>
  <w:style w:type="character" w:customStyle="1" w:styleId="Char1">
    <w:name w:val="批注框文本 Char"/>
    <w:basedOn w:val="a0"/>
    <w:link w:val="a5"/>
    <w:uiPriority w:val="99"/>
    <w:semiHidden/>
    <w:qFormat/>
    <w:rPr>
      <w:sz w:val="18"/>
      <w:szCs w:val="18"/>
    </w:rPr>
  </w:style>
  <w:style w:type="character" w:customStyle="1" w:styleId="1Char">
    <w:name w:val="标题 1 Char"/>
    <w:basedOn w:val="a0"/>
    <w:link w:val="1"/>
    <w:uiPriority w:val="9"/>
    <w:qFormat/>
    <w:rPr>
      <w:b/>
      <w:bCs/>
      <w:kern w:val="44"/>
      <w:sz w:val="44"/>
      <w:szCs w:val="44"/>
    </w:rPr>
  </w:style>
  <w:style w:type="paragraph" w:styleId="ab">
    <w:name w:val="List Paragraph"/>
    <w:basedOn w:val="a"/>
    <w:uiPriority w:val="34"/>
    <w:qFormat/>
    <w:pPr>
      <w:ind w:firstLineChars="200" w:firstLine="420"/>
    </w:pPr>
  </w:style>
  <w:style w:type="character" w:customStyle="1" w:styleId="Char0">
    <w:name w:val="日期 Char"/>
    <w:basedOn w:val="a0"/>
    <w:link w:val="a4"/>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591088-2532-4161-B2D8-1755300EA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884</Words>
  <Characters>5039</Characters>
  <Application>Microsoft Office Word</Application>
  <DocSecurity>0</DocSecurity>
  <Lines>41</Lines>
  <Paragraphs>11</Paragraphs>
  <ScaleCrop>false</ScaleCrop>
  <Company>微软中国</Company>
  <LinksUpToDate>false</LinksUpToDate>
  <CharactersWithSpaces>5912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小五</dc:creator>
  <cp:lastModifiedBy>刘成明（研究中心）</cp:lastModifiedBy>
  <cp:revision>5</cp:revision>
  <cp:lastPrinted>2021-07-06T07:21:00Z</cp:lastPrinted>
  <dcterms:created xsi:type="dcterms:W3CDTF">2021-07-06T09:08:00Z</dcterms:created>
  <dcterms:modified xsi:type="dcterms:W3CDTF">2021-07-08T03:05:00Z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